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10" w:rsidRPr="00886B10" w:rsidRDefault="00886B10" w:rsidP="00886B10">
      <w:pPr>
        <w:spacing w:after="0" w:line="240" w:lineRule="auto"/>
        <w:ind w:left="1920" w:right="2176"/>
        <w:jc w:val="center"/>
        <w:rPr>
          <w:rFonts w:ascii="Times New Roman" w:eastAsia="Times New Roman" w:hAnsi="Times New Roman" w:cs="Times New Roman"/>
          <w:sz w:val="24"/>
          <w:szCs w:val="24"/>
          <w:lang/>
        </w:rPr>
      </w:pPr>
      <w:r w:rsidRPr="00886B10">
        <w:rPr>
          <w:rFonts w:ascii="Verdana" w:eastAsia="Times New Roman" w:hAnsi="Verdana" w:cs="Times New Roman"/>
          <w:b/>
          <w:sz w:val="20"/>
          <w:szCs w:val="20"/>
          <w:lang/>
        </w:rPr>
        <w:t>ЗВІТ</w:t>
      </w:r>
    </w:p>
    <w:p w:rsidR="00886B10" w:rsidRPr="00886B10" w:rsidRDefault="00886B10" w:rsidP="00886B10">
      <w:pPr>
        <w:spacing w:after="0" w:line="240" w:lineRule="auto"/>
        <w:ind w:left="1920" w:right="2176"/>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 xml:space="preserve">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w:t>
      </w:r>
    </w:p>
    <w:p w:rsidR="00886B10" w:rsidRPr="00886B10" w:rsidRDefault="00886B10" w:rsidP="00886B10">
      <w:pPr>
        <w:spacing w:after="0" w:line="240" w:lineRule="auto"/>
        <w:ind w:left="1920" w:right="2176"/>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 xml:space="preserve">з іншої сторони за </w:t>
      </w:r>
      <w:bookmarkStart w:id="0" w:name="_GoBack"/>
      <w:r w:rsidRPr="00886B10">
        <w:rPr>
          <w:rFonts w:ascii="Verdana" w:eastAsia="Times New Roman" w:hAnsi="Verdana" w:cs="Times New Roman"/>
          <w:sz w:val="20"/>
          <w:szCs w:val="20"/>
          <w:lang w:val="en-GB"/>
        </w:rPr>
        <w:t>I</w:t>
      </w:r>
      <w:r w:rsidRPr="00886B10">
        <w:rPr>
          <w:rFonts w:ascii="Verdana" w:eastAsia="Times New Roman" w:hAnsi="Verdana" w:cs="Times New Roman"/>
          <w:sz w:val="20"/>
          <w:szCs w:val="20"/>
          <w:lang w:val="en-US"/>
        </w:rPr>
        <w:t>V</w:t>
      </w:r>
      <w:r w:rsidRPr="00886B10">
        <w:rPr>
          <w:rFonts w:ascii="Verdana" w:eastAsia="Times New Roman" w:hAnsi="Verdana" w:cs="Times New Roman"/>
          <w:sz w:val="20"/>
          <w:szCs w:val="20"/>
          <w:lang/>
        </w:rPr>
        <w:t xml:space="preserve"> квартал</w:t>
      </w:r>
      <w:bookmarkEnd w:id="0"/>
      <w:r w:rsidRPr="00886B10">
        <w:rPr>
          <w:rFonts w:ascii="Verdana" w:eastAsia="Times New Roman" w:hAnsi="Verdana" w:cs="Times New Roman"/>
          <w:sz w:val="20"/>
          <w:szCs w:val="20"/>
          <w:lang/>
        </w:rPr>
        <w:t xml:space="preserve"> 2018 року</w:t>
      </w:r>
    </w:p>
    <w:p w:rsidR="00886B10" w:rsidRPr="00886B10" w:rsidRDefault="00886B10" w:rsidP="00886B10">
      <w:pPr>
        <w:spacing w:before="100" w:beforeAutospacing="1" w:after="100" w:afterAutospacing="1" w:line="240" w:lineRule="auto"/>
        <w:rPr>
          <w:rFonts w:ascii="Times New Roman" w:eastAsia="Times New Roman" w:hAnsi="Times New Roman" w:cs="Times New Roman"/>
          <w:sz w:val="24"/>
          <w:szCs w:val="24"/>
          <w:lang/>
        </w:rPr>
      </w:pPr>
      <w:r w:rsidRPr="00886B10">
        <w:rPr>
          <w:rFonts w:ascii="Verdana" w:eastAsia="Times New Roman" w:hAnsi="Verdana" w:cs="Times New Roman"/>
          <w:sz w:val="20"/>
          <w:szCs w:val="20"/>
          <w:lang w:val="ru-RU"/>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200"/>
        <w:gridCol w:w="3079"/>
      </w:tblGrid>
      <w:tr w:rsidR="00886B10" w:rsidRPr="00886B10" w:rsidTr="00886B10">
        <w:trPr>
          <w:jc w:val="center"/>
        </w:trPr>
        <w:tc>
          <w:tcPr>
            <w:tcW w:w="4219"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t> </w:t>
            </w:r>
          </w:p>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Найменування завдання</w:t>
            </w:r>
          </w:p>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t> </w:t>
            </w:r>
          </w:p>
        </w:tc>
        <w:tc>
          <w:tcPr>
            <w:tcW w:w="5245"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t> </w:t>
            </w:r>
          </w:p>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Найменування заходу</w:t>
            </w:r>
          </w:p>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t> </w:t>
            </w:r>
          </w:p>
        </w:tc>
        <w:tc>
          <w:tcPr>
            <w:tcW w:w="5812"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t> </w:t>
            </w:r>
          </w:p>
          <w:p w:rsidR="00886B10" w:rsidRPr="00886B10" w:rsidRDefault="00886B10" w:rsidP="00886B10">
            <w:pPr>
              <w:spacing w:before="100" w:beforeAutospacing="1" w:after="100" w:afterAutospacing="1"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Прогрес виконання заходу у звітному періоді</w:t>
            </w:r>
          </w:p>
        </w:tc>
      </w:tr>
      <w:tr w:rsidR="00886B10" w:rsidRPr="00886B10" w:rsidTr="00886B10">
        <w:trPr>
          <w:jc w:val="center"/>
        </w:trPr>
        <w:tc>
          <w:tcPr>
            <w:tcW w:w="15276" w:type="dxa"/>
            <w:gridSpan w:val="3"/>
            <w:tcBorders>
              <w:top w:val="single" w:sz="4" w:space="0" w:color="auto"/>
              <w:left w:val="single" w:sz="4" w:space="0" w:color="auto"/>
              <w:bottom w:val="single" w:sz="4" w:space="0" w:color="auto"/>
              <w:right w:val="single" w:sz="4" w:space="0" w:color="auto"/>
            </w:tcBorders>
            <w:vAlign w:val="center"/>
            <w:hideMark/>
          </w:tcPr>
          <w:p w:rsidR="00886B10" w:rsidRPr="00886B10" w:rsidRDefault="00886B10" w:rsidP="00886B10">
            <w:pPr>
              <w:spacing w:before="120" w:after="120"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Юстиція, свобода, безпека, права людини</w:t>
            </w:r>
          </w:p>
        </w:tc>
      </w:tr>
      <w:tr w:rsidR="00886B10" w:rsidRPr="00886B10" w:rsidTr="00886B10">
        <w:trPr>
          <w:trHeight w:val="172"/>
          <w:jc w:val="center"/>
        </w:trPr>
        <w:tc>
          <w:tcPr>
            <w:tcW w:w="4219"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00" w:afterAutospacing="1"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п. 41.  Сприяння розвитку національної команди реагування на комп’ютерні надзвичайні події (CERT)</w:t>
            </w:r>
          </w:p>
        </w:tc>
        <w:tc>
          <w:tcPr>
            <w:tcW w:w="5245" w:type="dxa"/>
            <w:tcBorders>
              <w:top w:val="single" w:sz="4" w:space="0" w:color="auto"/>
              <w:left w:val="single" w:sz="4" w:space="0" w:color="auto"/>
              <w:bottom w:val="single" w:sz="4" w:space="0" w:color="auto"/>
              <w:right w:val="single" w:sz="4" w:space="0" w:color="auto"/>
            </w:tcBorders>
            <w:hideMark/>
          </w:tcPr>
          <w:tbl>
            <w:tblPr>
              <w:tblW w:w="4965" w:type="pct"/>
              <w:tblLook w:val="04A0" w:firstRow="1" w:lastRow="0" w:firstColumn="1" w:lastColumn="0" w:noHBand="0" w:noVBand="1"/>
            </w:tblPr>
            <w:tblGrid>
              <w:gridCol w:w="2963"/>
            </w:tblGrid>
            <w:tr w:rsidR="00886B10" w:rsidRPr="00886B10">
              <w:trPr>
                <w:trHeight w:val="20"/>
              </w:trPr>
              <w:tc>
                <w:tcPr>
                  <w:tcW w:w="5000" w:type="pct"/>
                  <w:hideMark/>
                </w:tcPr>
                <w:p w:rsidR="00886B10" w:rsidRPr="00886B10" w:rsidRDefault="00886B10" w:rsidP="00886B10">
                  <w:pPr>
                    <w:spacing w:before="120" w:after="0" w:line="228" w:lineRule="auto"/>
                    <w:ind w:left="-74"/>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1)  розроблення, видання та реєстрація в Мін’юсті наказу Адміністрації Держспецзв’язку щодо заходів із розвитку CERT та Державного центру кіберзахисту та протидії кіберзагрозам (ДЦКЗ)</w:t>
                  </w:r>
                </w:p>
              </w:tc>
            </w:tr>
            <w:tr w:rsidR="00886B10" w:rsidRPr="00886B10">
              <w:trPr>
                <w:trHeight w:val="20"/>
              </w:trPr>
              <w:tc>
                <w:tcPr>
                  <w:tcW w:w="5000" w:type="pct"/>
                  <w:hideMark/>
                </w:tcPr>
                <w:p w:rsidR="00886B10" w:rsidRPr="00886B10" w:rsidRDefault="00886B10" w:rsidP="00886B10">
                  <w:pPr>
                    <w:spacing w:before="100" w:beforeAutospacing="1" w:after="100" w:afterAutospacing="1" w:line="228" w:lineRule="auto"/>
                    <w:ind w:left="-74"/>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2)  затвердження відповідного комплексу заходів</w:t>
                  </w:r>
                </w:p>
              </w:tc>
            </w:tr>
          </w:tbl>
          <w:p w:rsidR="00886B10" w:rsidRPr="00886B10" w:rsidRDefault="00886B10" w:rsidP="00886B10">
            <w:pPr>
              <w:spacing w:after="0" w:line="240" w:lineRule="auto"/>
              <w:rPr>
                <w:rFonts w:ascii="Times New Roman" w:eastAsia="Times New Roman" w:hAnsi="Times New Roman" w:cs="Times New Roman"/>
                <w:sz w:val="24"/>
                <w:szCs w:val="24"/>
                <w:lang/>
              </w:rPr>
            </w:pPr>
          </w:p>
        </w:tc>
        <w:tc>
          <w:tcPr>
            <w:tcW w:w="5812"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rPr>
              <w:t xml:space="preserve">Розроблено та підписано Головою Держспецзв’язку Л.О. Євдоченком наказ Адміністрації Держспецзв’язку від 30.08.2018 № 528 «Про зміну найменування Державного центру кіберзахисту та протидії кіберзагрозам Державної служби спеціального зв’язку та захисту інформації України», яким затверджено Положення про Державний центр кіберзахисту Держспецзв’язку. Відповідно до покладених основних завдань діяльність Центру передбачає проведення низки заходів з розвитку урядової команди реагування на комп’ютерні надзвичайні події України </w:t>
            </w:r>
            <w:r w:rsidRPr="00886B10">
              <w:rPr>
                <w:rFonts w:ascii="Verdana" w:eastAsia="Times New Roman" w:hAnsi="Verdana" w:cs="Times New Roman"/>
                <w:i/>
                <w:sz w:val="20"/>
                <w:szCs w:val="20"/>
                <w:lang/>
              </w:rPr>
              <w:br/>
              <w:t xml:space="preserve">CERT-UA. </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rPr>
              <w:t>Завдання, визначені п. 41, виконано в повному обсязі.</w:t>
            </w:r>
          </w:p>
        </w:tc>
      </w:tr>
      <w:tr w:rsidR="00886B10" w:rsidRPr="00886B10" w:rsidTr="00886B10">
        <w:trPr>
          <w:jc w:val="center"/>
        </w:trPr>
        <w:tc>
          <w:tcPr>
            <w:tcW w:w="15276" w:type="dxa"/>
            <w:gridSpan w:val="3"/>
            <w:tcBorders>
              <w:top w:val="single" w:sz="4" w:space="0" w:color="auto"/>
              <w:left w:val="single" w:sz="4" w:space="0" w:color="auto"/>
              <w:bottom w:val="single" w:sz="4" w:space="0" w:color="auto"/>
              <w:right w:val="single" w:sz="4" w:space="0" w:color="auto"/>
            </w:tcBorders>
            <w:vAlign w:val="center"/>
            <w:hideMark/>
          </w:tcPr>
          <w:p w:rsidR="00886B10" w:rsidRPr="00886B10" w:rsidRDefault="00886B10" w:rsidP="00886B10">
            <w:pPr>
              <w:spacing w:before="120" w:after="120" w:line="240" w:lineRule="auto"/>
              <w:jc w:val="center"/>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Наука, технології та інновації</w:t>
            </w:r>
          </w:p>
        </w:tc>
      </w:tr>
      <w:tr w:rsidR="00886B10" w:rsidRPr="00886B10" w:rsidTr="00886B10">
        <w:trPr>
          <w:jc w:val="center"/>
        </w:trPr>
        <w:tc>
          <w:tcPr>
            <w:tcW w:w="4219"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00" w:afterAutospacing="1"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п. 19</w:t>
            </w:r>
            <w:r w:rsidRPr="00886B10">
              <w:rPr>
                <w:rFonts w:ascii="Verdana" w:eastAsia="Times New Roman" w:hAnsi="Verdana" w:cs="Times New Roman"/>
                <w:sz w:val="20"/>
                <w:szCs w:val="20"/>
                <w:lang w:val="ru-RU"/>
              </w:rPr>
              <w:t>06</w:t>
            </w:r>
            <w:r w:rsidRPr="00886B10">
              <w:rPr>
                <w:rFonts w:ascii="Verdana" w:eastAsia="Times New Roman" w:hAnsi="Verdana" w:cs="Times New Roman"/>
                <w:sz w:val="20"/>
                <w:szCs w:val="20"/>
                <w:lang/>
              </w:rPr>
              <w:t>.</w:t>
            </w:r>
            <w:r w:rsidRPr="00886B10">
              <w:rPr>
                <w:rFonts w:ascii="Verdana" w:eastAsia="Times New Roman" w:hAnsi="Verdana" w:cs="Times New Roman"/>
                <w:sz w:val="20"/>
                <w:szCs w:val="20"/>
                <w:lang w:val="en-GB"/>
              </w:rPr>
              <w:t>  </w:t>
            </w:r>
            <w:r w:rsidRPr="00886B10">
              <w:rPr>
                <w:rFonts w:ascii="Verdana" w:eastAsia="Times New Roman" w:hAnsi="Verdana" w:cs="Times New Roman"/>
                <w:sz w:val="20"/>
                <w:szCs w:val="20"/>
                <w:lang/>
              </w:rPr>
              <w:t>Створення механізмів протидії застосуванню незаконних пристроїв несанкціонованого доступу до послуг, що засновані на умовному доступі або складаються з нього</w:t>
            </w:r>
          </w:p>
        </w:tc>
        <w:tc>
          <w:tcPr>
            <w:tcW w:w="5245" w:type="dxa"/>
            <w:tcBorders>
              <w:top w:val="single" w:sz="4" w:space="0" w:color="auto"/>
              <w:left w:val="single" w:sz="4" w:space="0" w:color="auto"/>
              <w:bottom w:val="single" w:sz="4" w:space="0" w:color="auto"/>
              <w:right w:val="single" w:sz="4" w:space="0" w:color="auto"/>
            </w:tcBorders>
            <w:hideMark/>
          </w:tcPr>
          <w:tbl>
            <w:tblPr>
              <w:tblW w:w="5281" w:type="pct"/>
              <w:tblLook w:val="04A0" w:firstRow="1" w:lastRow="0" w:firstColumn="1" w:lastColumn="0" w:noHBand="0" w:noVBand="1"/>
            </w:tblPr>
            <w:tblGrid>
              <w:gridCol w:w="3152"/>
            </w:tblGrid>
            <w:tr w:rsidR="00886B10" w:rsidRPr="00886B10">
              <w:trPr>
                <w:trHeight w:val="20"/>
              </w:trPr>
              <w:tc>
                <w:tcPr>
                  <w:tcW w:w="1090" w:type="pct"/>
                  <w:hideMark/>
                </w:tcPr>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1)  розроблення та подання на розгляд Кабінету Міністрів України законопроекту щодо заборони виробництва, продажу та використання пристроїв несанкціонованого доступу до послуг, що засновані або складаються з умовного доступу</w:t>
                  </w:r>
                </w:p>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lastRenderedPageBreak/>
                    <w:t>2)  опрацювання законопроекту з експертами ЄС</w:t>
                  </w:r>
                </w:p>
              </w:tc>
            </w:tr>
            <w:tr w:rsidR="00886B10" w:rsidRPr="00886B10">
              <w:trPr>
                <w:trHeight w:val="20"/>
              </w:trPr>
              <w:tc>
                <w:tcPr>
                  <w:tcW w:w="1090" w:type="pct"/>
                  <w:hideMark/>
                </w:tcPr>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lastRenderedPageBreak/>
                    <w:t>3)  забезпечення супроводження розгляду Верховною Радою України законопроекту</w:t>
                  </w:r>
                </w:p>
              </w:tc>
            </w:tr>
            <w:tr w:rsidR="00886B10" w:rsidRPr="00886B10">
              <w:trPr>
                <w:trHeight w:val="20"/>
              </w:trPr>
              <w:tc>
                <w:tcPr>
                  <w:tcW w:w="1090" w:type="pct"/>
                  <w:hideMark/>
                </w:tcPr>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4) розроблення та подання на розгляд Кабінету Міністрів України законопроекту щодо санкцій за виробництво, продаж та використання пристроїв несанкціонованого доступу до захищених послуг</w:t>
                  </w:r>
                </w:p>
              </w:tc>
            </w:tr>
            <w:tr w:rsidR="00886B10" w:rsidRPr="00886B10">
              <w:trPr>
                <w:trHeight w:val="20"/>
              </w:trPr>
              <w:tc>
                <w:tcPr>
                  <w:tcW w:w="1090" w:type="pct"/>
                  <w:hideMark/>
                </w:tcPr>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5) опрацювання законопроекту з експертами</w:t>
                  </w:r>
                </w:p>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 xml:space="preserve"> ЄС</w:t>
                  </w:r>
                </w:p>
              </w:tc>
            </w:tr>
            <w:tr w:rsidR="00886B10" w:rsidRPr="00886B10">
              <w:trPr>
                <w:trHeight w:val="20"/>
              </w:trPr>
              <w:tc>
                <w:tcPr>
                  <w:tcW w:w="1090" w:type="pct"/>
                  <w:hideMark/>
                </w:tcPr>
                <w:p w:rsidR="00886B10" w:rsidRPr="00886B10" w:rsidRDefault="00886B10" w:rsidP="00886B10">
                  <w:pPr>
                    <w:spacing w:before="120" w:after="0" w:line="228" w:lineRule="auto"/>
                    <w:ind w:left="-74" w:right="201"/>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6) забезпеченя супроводження розгляду Верховною Радою України законопроекту</w:t>
                  </w:r>
                </w:p>
              </w:tc>
            </w:tr>
          </w:tbl>
          <w:p w:rsidR="00886B10" w:rsidRPr="00886B10" w:rsidRDefault="00886B10" w:rsidP="00886B10">
            <w:pPr>
              <w:spacing w:after="0" w:line="240" w:lineRule="auto"/>
              <w:rPr>
                <w:rFonts w:ascii="Times New Roman" w:eastAsia="Times New Roman" w:hAnsi="Times New Roman" w:cs="Times New Roman"/>
                <w:sz w:val="24"/>
                <w:szCs w:val="24"/>
                <w:lang/>
              </w:rPr>
            </w:pPr>
          </w:p>
        </w:tc>
        <w:tc>
          <w:tcPr>
            <w:tcW w:w="5812"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rPr>
              <w:lastRenderedPageBreak/>
              <w:t xml:space="preserve">За результатами опрацювання питання розробки законопроекту щодо заборони виробництва, продажу та використання пристроїв несанкціонованого доступу до послуг, що засновані або складаються з умовного доступу, та законопроекту щодо </w:t>
            </w:r>
            <w:r w:rsidRPr="00886B10">
              <w:rPr>
                <w:rFonts w:ascii="Verdana" w:eastAsia="Times New Roman" w:hAnsi="Verdana" w:cs="Times New Roman"/>
                <w:i/>
                <w:sz w:val="20"/>
                <w:szCs w:val="20"/>
                <w:lang/>
              </w:rPr>
              <w:lastRenderedPageBreak/>
              <w:t xml:space="preserve">санкцій за виробництво, продаж та використання пристроїв несанкціонованого доступу до захищених послуг Адміністрація Держспецзв’язку листом від 10.04.2018 № 01/04/02-1581 надіслала до СКМУ обґрунтування доцільності покладення функцій головного виконавця заходів, визначених п. 1906, на інший орган державної влади відповідно до повноважень. </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rPr>
              <w:t xml:space="preserve">Від представників СКМУ </w:t>
            </w:r>
            <w:r w:rsidRPr="00886B10">
              <w:rPr>
                <w:rFonts w:ascii="Verdana" w:eastAsia="Times New Roman" w:hAnsi="Verdana" w:cs="Times New Roman"/>
                <w:i/>
                <w:sz w:val="20"/>
                <w:szCs w:val="20"/>
                <w:lang w:val="ru-RU"/>
              </w:rPr>
              <w:t xml:space="preserve">26.12.2018 </w:t>
            </w:r>
            <w:r w:rsidRPr="00886B10">
              <w:rPr>
                <w:rFonts w:ascii="Verdana" w:eastAsia="Times New Roman" w:hAnsi="Verdana" w:cs="Times New Roman"/>
                <w:i/>
                <w:sz w:val="20"/>
                <w:szCs w:val="20"/>
                <w:lang/>
              </w:rPr>
              <w:t>в робочому порядку отримано інформацію про те, що до Плану заходів з виконання Угоди про асоціацію між Україною та ЄС, затвердженого постановою Кабінету Міністрів України від 25 жовтня 2017 року № 1106, в установленому порядку буде внесено комплексні зміни з огляду на численні пропозиції та зауваження органів державної влади.</w:t>
            </w:r>
          </w:p>
          <w:p w:rsidR="00886B10" w:rsidRPr="00886B10" w:rsidRDefault="00886B10" w:rsidP="00886B10">
            <w:pPr>
              <w:spacing w:before="120" w:after="100" w:afterAutospacing="1"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rPr>
              <w:t>Адміністрація Держспецзв’язку готова долучитися у межах компетенції до розробки відповідних законопроектів як співвиконавець.</w:t>
            </w:r>
          </w:p>
        </w:tc>
      </w:tr>
      <w:tr w:rsidR="00886B10" w:rsidRPr="00886B10" w:rsidTr="00886B10">
        <w:trPr>
          <w:jc w:val="center"/>
        </w:trPr>
        <w:tc>
          <w:tcPr>
            <w:tcW w:w="4219"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lastRenderedPageBreak/>
              <w:t>п. 1928.</w:t>
            </w:r>
            <w:r w:rsidRPr="00886B10">
              <w:rPr>
                <w:rFonts w:ascii="Verdana" w:eastAsia="Times New Roman" w:hAnsi="Verdana" w:cs="Times New Roman"/>
                <w:sz w:val="20"/>
                <w:szCs w:val="20"/>
                <w:lang w:val="ru-RU"/>
              </w:rPr>
              <w:t> </w:t>
            </w:r>
            <w:r w:rsidRPr="00886B10">
              <w:rPr>
                <w:rFonts w:ascii="Verdana" w:eastAsia="Times New Roman" w:hAnsi="Verdana" w:cs="Times New Roman"/>
                <w:sz w:val="20"/>
                <w:szCs w:val="20"/>
                <w:lang/>
              </w:rPr>
              <w:t> Затвердження політики та принципів регулювання спектра радіочастот відповідно до права ЄС</w:t>
            </w:r>
          </w:p>
        </w:tc>
        <w:tc>
          <w:tcPr>
            <w:tcW w:w="5245"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 xml:space="preserve">1)  проведення аналізу рішень Європейської Комісії, прийнятих відповідно до Рішення </w:t>
            </w:r>
            <w:r w:rsidRPr="00886B10">
              <w:rPr>
                <w:rFonts w:ascii="Verdana" w:eastAsia="Times New Roman" w:hAnsi="Verdana" w:cs="Times New Roman"/>
                <w:sz w:val="20"/>
                <w:szCs w:val="20"/>
                <w:lang/>
              </w:rPr>
              <w:br/>
              <w:t>№ 676/2002/ЄС щодо гармонізації умов доступності та ефективності використання радіочастотного спектра</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2)  розроблення та подання на розгляд Кабінету Міністрів України законопроекту про внесення змін до Закону України “Про радіочастотний ресурс”</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lastRenderedPageBreak/>
              <w:t>3)  опрацювання законопроекту з експертами ЄС</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 xml:space="preserve">4)  забезпечення супроводження розгляду Верховною Радою України законопроекту </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5)  розроблення проекту постанови Кабінету Міністрів України щодо внесення змін до Національної таблиці розподілу смуг радіочастот України та Плану використання радіочастотного ресурсу України</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6)  опрацювання проекту постанови з експертами ЄС</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7)  подання проекту постанови на розгляд Кабінету Міністрів України</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rPr>
              <w:t>8)  налагодження взаємодії з Комітетом із спектра радіочастот щодо координації політики та обміну інформацією з питань використання спектра</w:t>
            </w:r>
          </w:p>
        </w:tc>
        <w:tc>
          <w:tcPr>
            <w:tcW w:w="5812" w:type="dxa"/>
            <w:tcBorders>
              <w:top w:val="single" w:sz="4" w:space="0" w:color="auto"/>
              <w:left w:val="single" w:sz="4" w:space="0" w:color="auto"/>
              <w:bottom w:val="single" w:sz="4" w:space="0" w:color="auto"/>
              <w:right w:val="single" w:sz="4" w:space="0" w:color="auto"/>
            </w:tcBorders>
            <w:hideMark/>
          </w:tcPr>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lastRenderedPageBreak/>
              <w:t xml:space="preserve">Наказом Адміністрації Держспецзв’язку від 20.05.2015 № 274 утворено робочу групу з питань реалізації плану імплементації деяких актів законодавства ЄС у сфері телекомунікацій. На засіданнях робочої групи проведено </w:t>
            </w:r>
            <w:r w:rsidRPr="00886B10">
              <w:rPr>
                <w:rFonts w:ascii="Verdana" w:eastAsia="Times New Roman" w:hAnsi="Verdana" w:cs="Times New Roman"/>
                <w:i/>
                <w:sz w:val="20"/>
                <w:szCs w:val="20"/>
                <w:lang/>
              </w:rPr>
              <w:t xml:space="preserve">аналіз Рішення № 676/2002/ЄС та пов’язаних із ним документів ЄС. </w:t>
            </w:r>
            <w:r w:rsidRPr="00886B10">
              <w:rPr>
                <w:rFonts w:ascii="Verdana" w:eastAsia="Times New Roman" w:hAnsi="Verdana" w:cs="Times New Roman"/>
                <w:i/>
                <w:color w:val="000000"/>
                <w:sz w:val="20"/>
                <w:szCs w:val="20"/>
                <w:lang/>
              </w:rPr>
              <w:t xml:space="preserve">За результатами проведеного аналізу виконано роботу з приведення нормативно-правових актів України у </w:t>
            </w:r>
            <w:r w:rsidRPr="00886B10">
              <w:rPr>
                <w:rFonts w:ascii="Verdana" w:eastAsia="Times New Roman" w:hAnsi="Verdana" w:cs="Times New Roman"/>
                <w:i/>
                <w:color w:val="000000"/>
                <w:sz w:val="20"/>
                <w:szCs w:val="20"/>
                <w:lang/>
              </w:rPr>
              <w:lastRenderedPageBreak/>
              <w:t xml:space="preserve">відповідність до законодавства ЄС у згаданій сфері. </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t>Адміністрацією Держспецзв’язку розроблено законопроект про внесення</w:t>
            </w:r>
            <w:r w:rsidRPr="00886B10">
              <w:rPr>
                <w:rFonts w:ascii="Verdana" w:eastAsia="Times New Roman" w:hAnsi="Verdana" w:cs="Times New Roman"/>
                <w:i/>
                <w:sz w:val="20"/>
                <w:szCs w:val="20"/>
                <w:lang/>
              </w:rPr>
              <w:t xml:space="preserve"> змін до Закону України «Про радіочастотний ресурс України», який 04.10.2017 схвалено на засіданні Уряду. Зазначений законопроект у встановленому порядку внесено на розгляд Верховної Ради України (зареєстровано у Верховній Раді України 05.10.2017 за №</w:t>
            </w:r>
            <w:r w:rsidRPr="00886B10">
              <w:rPr>
                <w:rFonts w:ascii="Verdana" w:eastAsia="Times New Roman" w:hAnsi="Verdana" w:cs="Times New Roman"/>
                <w:i/>
                <w:sz w:val="20"/>
                <w:szCs w:val="20"/>
                <w:lang w:val="en-GB"/>
              </w:rPr>
              <w:t> </w:t>
            </w:r>
            <w:r w:rsidRPr="00886B10">
              <w:rPr>
                <w:rFonts w:ascii="Verdana" w:eastAsia="Times New Roman" w:hAnsi="Verdana" w:cs="Times New Roman"/>
                <w:i/>
                <w:sz w:val="20"/>
                <w:szCs w:val="20"/>
                <w:lang/>
              </w:rPr>
              <w:t>7181).</w:t>
            </w:r>
          </w:p>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shd w:val="clear" w:color="auto" w:fill="FFFFFF"/>
                <w:lang/>
              </w:rPr>
              <w:t>З метою супроводження і прискорення розгляду законопроекту Верховною Радою України та на виконання пункту 2 Протоколу наради стосовно підготовки та проведення четвертого засідання Комітету асоціації між Україною та ЄС, третього засідання Комітету асоціації у торговельному складі між Україною та ЄС, а також п’ятого засідання Ради асоціації між Україною та ЄС від 22.08.2018 Адміністрація Держспецзв’язку листом від 31.08.2018 № 01/04/02-4200 надала СКМУ пропозицію щодо включення зазначеного законопроекту до дорожньої карти законодавчого забезпечення виконання</w:t>
            </w:r>
            <w:r w:rsidRPr="00886B10">
              <w:rPr>
                <w:rFonts w:ascii="Verdana" w:eastAsia="Times New Roman" w:hAnsi="Verdana" w:cs="Times New Roman"/>
                <w:i/>
                <w:sz w:val="20"/>
                <w:szCs w:val="20"/>
                <w:lang/>
              </w:rPr>
              <w:t xml:space="preserve"> Угоди про асоціацію між Україною та ЄС на 2018 - 2019 роки.</w:t>
            </w:r>
            <w:r w:rsidRPr="00886B10">
              <w:rPr>
                <w:rFonts w:ascii="Verdana" w:eastAsia="Times New Roman" w:hAnsi="Verdana" w:cs="Times New Roman"/>
                <w:i/>
                <w:color w:val="000000"/>
                <w:sz w:val="20"/>
                <w:szCs w:val="20"/>
                <w:lang/>
              </w:rPr>
              <w:t>Протягом 2016 – 2018 років розроблено та прийнято такі постанови Кабінету Міністрів України:</w:t>
            </w:r>
          </w:p>
          <w:p w:rsidR="00886B10" w:rsidRPr="00886B10" w:rsidRDefault="00886B10" w:rsidP="00886B10">
            <w:pPr>
              <w:spacing w:before="120" w:after="120" w:line="240" w:lineRule="auto"/>
              <w:ind w:left="34"/>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t xml:space="preserve">     від 14.02.2017 № 367 «Про внесення змін до Національної таблиці розподілу смуг радіочастот України та Плану </w:t>
            </w:r>
            <w:r w:rsidRPr="00886B10">
              <w:rPr>
                <w:rFonts w:ascii="Verdana" w:eastAsia="Times New Roman" w:hAnsi="Verdana" w:cs="Times New Roman"/>
                <w:i/>
                <w:color w:val="000000"/>
                <w:sz w:val="20"/>
                <w:szCs w:val="20"/>
                <w:lang/>
              </w:rPr>
              <w:lastRenderedPageBreak/>
              <w:t>використання радіочастотного ресурсу України»;</w:t>
            </w:r>
          </w:p>
          <w:p w:rsidR="00886B10" w:rsidRPr="00886B10" w:rsidRDefault="00886B10" w:rsidP="00886B10">
            <w:pPr>
              <w:spacing w:before="120" w:after="120" w:line="240" w:lineRule="auto"/>
              <w:ind w:left="34"/>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t xml:space="preserve">     від 12.04.2017 № 265 «Про внесення змін до Національної таблиці розподілу смуг радіочастот України та Плану використання радіочастотного ресурсу України»; </w:t>
            </w:r>
          </w:p>
          <w:p w:rsidR="00886B10" w:rsidRPr="00886B10" w:rsidRDefault="00886B10" w:rsidP="00886B10">
            <w:pPr>
              <w:spacing w:before="120" w:after="120" w:line="240" w:lineRule="auto"/>
              <w:ind w:left="34"/>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t>     від 18.08.2017 № 625 «Про внесення змін до Плану використання радіочастотного ресурсу України»;</w:t>
            </w:r>
          </w:p>
          <w:p w:rsidR="00886B10" w:rsidRPr="00886B10" w:rsidRDefault="00886B10" w:rsidP="00886B10">
            <w:pPr>
              <w:spacing w:before="120" w:after="120" w:line="240" w:lineRule="auto"/>
              <w:ind w:left="34"/>
              <w:jc w:val="both"/>
              <w:rPr>
                <w:rFonts w:ascii="Times New Roman" w:eastAsia="Times New Roman" w:hAnsi="Times New Roman" w:cs="Times New Roman"/>
                <w:sz w:val="24"/>
                <w:szCs w:val="24"/>
                <w:lang/>
              </w:rPr>
            </w:pPr>
            <w:r w:rsidRPr="00886B10">
              <w:rPr>
                <w:rFonts w:ascii="Verdana" w:eastAsia="Times New Roman" w:hAnsi="Verdana" w:cs="Times New Roman"/>
                <w:i/>
                <w:color w:val="000000"/>
                <w:sz w:val="20"/>
                <w:szCs w:val="20"/>
                <w:lang/>
              </w:rPr>
              <w:t>     від 18.07.2018 № 580 «Про внесення змін до Плану використання радіочастотного ресурсу України».</w:t>
            </w:r>
          </w:p>
          <w:p w:rsidR="00886B10" w:rsidRPr="00886B10" w:rsidRDefault="00886B10" w:rsidP="00886B10">
            <w:pPr>
              <w:tabs>
                <w:tab w:val="left" w:pos="5051"/>
              </w:tabs>
              <w:spacing w:before="120" w:after="120" w:line="240" w:lineRule="auto"/>
              <w:ind w:left="34"/>
              <w:jc w:val="both"/>
              <w:rPr>
                <w:rFonts w:ascii="Times New Roman" w:eastAsia="Times New Roman" w:hAnsi="Times New Roman" w:cs="Times New Roman"/>
                <w:sz w:val="24"/>
                <w:szCs w:val="24"/>
                <w:lang/>
              </w:rPr>
            </w:pPr>
            <w:r w:rsidRPr="00886B10">
              <w:rPr>
                <w:rFonts w:ascii="Verdana" w:eastAsia="Times New Roman" w:hAnsi="Verdana" w:cs="Times New Roman"/>
                <w:i/>
                <w:sz w:val="20"/>
                <w:szCs w:val="20"/>
                <w:lang w:eastAsia="ru-RU"/>
              </w:rPr>
              <w:t> </w:t>
            </w:r>
          </w:p>
        </w:tc>
      </w:tr>
    </w:tbl>
    <w:p w:rsidR="00886B10" w:rsidRPr="00886B10" w:rsidRDefault="00886B10" w:rsidP="00886B10">
      <w:pPr>
        <w:spacing w:before="120" w:after="120" w:line="240" w:lineRule="auto"/>
        <w:jc w:val="both"/>
        <w:rPr>
          <w:rFonts w:ascii="Times New Roman" w:eastAsia="Times New Roman" w:hAnsi="Times New Roman" w:cs="Times New Roman"/>
          <w:sz w:val="24"/>
          <w:szCs w:val="24"/>
          <w:lang/>
        </w:rPr>
      </w:pPr>
      <w:r w:rsidRPr="00886B10">
        <w:rPr>
          <w:rFonts w:ascii="Verdana" w:eastAsia="Times New Roman" w:hAnsi="Verdana" w:cs="Times New Roman"/>
          <w:sz w:val="20"/>
          <w:szCs w:val="20"/>
          <w:lang w:eastAsia="ru-RU"/>
        </w:rPr>
        <w:lastRenderedPageBreak/>
        <w:t> </w:t>
      </w:r>
    </w:p>
    <w:p w:rsidR="00F5408B" w:rsidRDefault="00F5408B"/>
    <w:sectPr w:rsidR="00F54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10"/>
    <w:rsid w:val="00466E9D"/>
    <w:rsid w:val="00886B10"/>
    <w:rsid w:val="00C43E05"/>
    <w:rsid w:val="00F540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81C97-4801-4F04-A5ED-443F90E3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8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0</DocSecurity>
  <Lines>44</Lines>
  <Paragraphs>12</Paragraphs>
  <ScaleCrop>false</ScaleCrop>
  <Company>diakov.net</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2020-12-24T08:11:00Z</dcterms:created>
  <dcterms:modified xsi:type="dcterms:W3CDTF">2020-12-24T08:11:00Z</dcterms:modified>
</cp:coreProperties>
</file>