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DCB" w:rsidRPr="0061024A" w:rsidRDefault="00BE6DCB" w:rsidP="00BE6DCB">
      <w:pPr>
        <w:ind w:firstLine="5670"/>
        <w:rPr>
          <w:b/>
          <w:szCs w:val="28"/>
        </w:rPr>
      </w:pPr>
      <w:r w:rsidRPr="0061024A">
        <w:rPr>
          <w:rFonts w:eastAsia="Calibri"/>
          <w:szCs w:val="28"/>
        </w:rPr>
        <w:t>Додаток 1</w:t>
      </w:r>
    </w:p>
    <w:p w:rsidR="00BE6DCB" w:rsidRPr="0061024A" w:rsidRDefault="00BE6DCB" w:rsidP="00BE6DCB">
      <w:pPr>
        <w:ind w:left="5670" w:firstLine="0"/>
        <w:rPr>
          <w:szCs w:val="28"/>
        </w:rPr>
      </w:pPr>
      <w:r w:rsidRPr="0061024A">
        <w:rPr>
          <w:szCs w:val="28"/>
        </w:rPr>
        <w:t>до Методичних рекомендацій</w:t>
      </w:r>
    </w:p>
    <w:p w:rsidR="00BE6DCB" w:rsidRPr="0061024A" w:rsidRDefault="00BE6DCB" w:rsidP="00BE6DCB">
      <w:pPr>
        <w:ind w:left="5670" w:firstLine="0"/>
        <w:rPr>
          <w:szCs w:val="28"/>
          <w:lang w:eastAsia="ru-RU"/>
        </w:rPr>
      </w:pPr>
      <w:r w:rsidRPr="0061024A">
        <w:rPr>
          <w:szCs w:val="28"/>
        </w:rPr>
        <w:t xml:space="preserve">щодо категоризації </w:t>
      </w:r>
      <w:r w:rsidRPr="0061024A">
        <w:rPr>
          <w:szCs w:val="28"/>
          <w:lang w:eastAsia="ru-RU"/>
        </w:rPr>
        <w:t>об’єктів критичної інфраструктури</w:t>
      </w:r>
    </w:p>
    <w:p w:rsidR="00BE6DCB" w:rsidRPr="0061024A" w:rsidRDefault="00BE6DCB" w:rsidP="00BE6DCB">
      <w:pPr>
        <w:ind w:left="5670" w:firstLine="0"/>
        <w:rPr>
          <w:szCs w:val="28"/>
        </w:rPr>
      </w:pPr>
      <w:r w:rsidRPr="0061024A">
        <w:rPr>
          <w:szCs w:val="28"/>
        </w:rPr>
        <w:t>(пункт 2 розділу V)</w:t>
      </w:r>
    </w:p>
    <w:p w:rsidR="00BE6DCB" w:rsidRPr="0061024A" w:rsidRDefault="00BE6DCB" w:rsidP="00BE6DCB">
      <w:pPr>
        <w:ind w:left="5670" w:firstLine="0"/>
        <w:rPr>
          <w:szCs w:val="28"/>
          <w:lang w:eastAsia="ru-RU"/>
        </w:rPr>
      </w:pPr>
    </w:p>
    <w:p w:rsidR="00BE6DCB" w:rsidRPr="0061024A" w:rsidRDefault="00BE6DCB" w:rsidP="00BE6DCB">
      <w:pPr>
        <w:ind w:left="5670" w:firstLine="0"/>
        <w:rPr>
          <w:szCs w:val="28"/>
        </w:rPr>
      </w:pPr>
    </w:p>
    <w:p w:rsidR="00BE6DCB" w:rsidRPr="0061024A" w:rsidRDefault="00BE6DCB" w:rsidP="00BE6DCB">
      <w:pPr>
        <w:tabs>
          <w:tab w:val="left" w:pos="993"/>
        </w:tabs>
        <w:ind w:right="-2"/>
        <w:rPr>
          <w:rFonts w:eastAsia="Calibri"/>
          <w:b/>
          <w:szCs w:val="28"/>
          <w:lang w:eastAsia="lt-LT"/>
        </w:rPr>
      </w:pPr>
    </w:p>
    <w:p w:rsidR="00BE6DCB" w:rsidRPr="0061024A" w:rsidRDefault="00BE6DCB" w:rsidP="00BE6DCB">
      <w:pPr>
        <w:tabs>
          <w:tab w:val="left" w:pos="993"/>
        </w:tabs>
        <w:ind w:right="-2" w:firstLine="0"/>
        <w:jc w:val="center"/>
        <w:rPr>
          <w:rFonts w:eastAsia="Calibri"/>
          <w:b/>
          <w:szCs w:val="28"/>
          <w:lang w:eastAsia="lt-LT"/>
        </w:rPr>
      </w:pPr>
    </w:p>
    <w:p w:rsidR="00BE6DCB" w:rsidRPr="0061024A" w:rsidRDefault="00BE6DCB" w:rsidP="00BE6DCB">
      <w:pPr>
        <w:tabs>
          <w:tab w:val="left" w:pos="993"/>
        </w:tabs>
        <w:ind w:right="-2" w:firstLine="0"/>
        <w:jc w:val="center"/>
        <w:rPr>
          <w:rFonts w:eastAsia="Calibri"/>
          <w:b/>
          <w:szCs w:val="28"/>
          <w:lang w:eastAsia="lt-LT"/>
        </w:rPr>
      </w:pPr>
      <w:r w:rsidRPr="0061024A">
        <w:rPr>
          <w:rFonts w:eastAsia="Calibri"/>
          <w:b/>
          <w:szCs w:val="28"/>
          <w:lang w:eastAsia="lt-LT"/>
        </w:rPr>
        <w:t>Приклад категоризації об’єкта критичної інфраструктури</w:t>
      </w:r>
    </w:p>
    <w:p w:rsidR="00BE6DCB" w:rsidRPr="0061024A" w:rsidRDefault="00BE6DCB" w:rsidP="00BE6DCB">
      <w:pPr>
        <w:tabs>
          <w:tab w:val="left" w:pos="993"/>
        </w:tabs>
        <w:ind w:right="-2" w:firstLine="0"/>
        <w:jc w:val="center"/>
        <w:rPr>
          <w:rFonts w:eastAsia="Calibri"/>
          <w:b/>
          <w:szCs w:val="28"/>
          <w:lang w:eastAsia="lt-LT"/>
        </w:rPr>
      </w:pPr>
    </w:p>
    <w:p w:rsidR="00BE6DCB" w:rsidRDefault="00BE6DCB" w:rsidP="00BE6DCB">
      <w:pPr>
        <w:numPr>
          <w:ilvl w:val="0"/>
          <w:numId w:val="2"/>
        </w:numPr>
        <w:tabs>
          <w:tab w:val="clear" w:pos="720"/>
          <w:tab w:val="left" w:pos="993"/>
        </w:tabs>
        <w:ind w:left="0" w:right="-2" w:firstLine="709"/>
        <w:contextualSpacing/>
        <w:rPr>
          <w:rFonts w:eastAsia="Calibri"/>
          <w:szCs w:val="28"/>
          <w:lang w:eastAsia="lt-LT"/>
        </w:rPr>
      </w:pPr>
      <w:r w:rsidRPr="0061024A">
        <w:rPr>
          <w:rFonts w:eastAsia="Calibri"/>
          <w:szCs w:val="28"/>
          <w:lang w:eastAsia="lt-LT"/>
        </w:rPr>
        <w:t>Розглянемо порядок категоризації об’єкта критичної інфраструктури на прикладі кваліфікованого надавача електронних довірчих послуг (далі – КНЕДП). Оператор основних послуг – державне підприємство «ЗЕТ».</w:t>
      </w:r>
    </w:p>
    <w:p w:rsidR="00BE6DCB" w:rsidRPr="0061024A" w:rsidRDefault="00BE6DCB" w:rsidP="00BE6DCB">
      <w:pPr>
        <w:tabs>
          <w:tab w:val="left" w:pos="993"/>
        </w:tabs>
        <w:ind w:left="709" w:right="-2" w:firstLine="0"/>
        <w:contextualSpacing/>
        <w:rPr>
          <w:rFonts w:eastAsia="Calibri"/>
          <w:szCs w:val="28"/>
          <w:lang w:eastAsia="lt-LT"/>
        </w:rPr>
      </w:pPr>
    </w:p>
    <w:p w:rsidR="00BE6DCB" w:rsidRPr="0061024A" w:rsidRDefault="00BE6DCB" w:rsidP="00BE6DCB">
      <w:pPr>
        <w:numPr>
          <w:ilvl w:val="0"/>
          <w:numId w:val="1"/>
        </w:numPr>
        <w:tabs>
          <w:tab w:val="clear" w:pos="720"/>
          <w:tab w:val="left" w:pos="993"/>
        </w:tabs>
        <w:ind w:left="0" w:right="-2" w:firstLine="709"/>
        <w:contextualSpacing/>
        <w:rPr>
          <w:rFonts w:eastAsia="Calibri"/>
          <w:szCs w:val="28"/>
          <w:lang w:eastAsia="lt-LT"/>
        </w:rPr>
      </w:pPr>
      <w:r w:rsidRPr="0061024A">
        <w:rPr>
          <w:rFonts w:eastAsia="Calibri"/>
          <w:szCs w:val="28"/>
          <w:lang w:eastAsia="lt-LT"/>
        </w:rPr>
        <w:t>КНЕДП належить до об’єкта, який надає послуги з надання кваліфікованих електронних довірчих послуг формування, перевірки та підтвердження чинності:</w:t>
      </w:r>
    </w:p>
    <w:p w:rsidR="00BE6DCB" w:rsidRPr="0061024A" w:rsidRDefault="00BE6DCB" w:rsidP="00BE6DCB">
      <w:pPr>
        <w:tabs>
          <w:tab w:val="left" w:pos="993"/>
        </w:tabs>
        <w:ind w:left="709" w:right="-2" w:firstLine="0"/>
        <w:rPr>
          <w:rFonts w:eastAsia="Calibri"/>
          <w:szCs w:val="28"/>
          <w:lang w:eastAsia="lt-LT"/>
        </w:rPr>
      </w:pPr>
      <w:r w:rsidRPr="0061024A">
        <w:rPr>
          <w:rFonts w:eastAsia="Calibri"/>
          <w:szCs w:val="28"/>
          <w:lang w:eastAsia="lt-LT"/>
        </w:rPr>
        <w:t>кваліфікованого сертифіката електронного підпису чи печатки;</w:t>
      </w:r>
    </w:p>
    <w:p w:rsidR="00BE6DCB" w:rsidRDefault="00BE6DCB" w:rsidP="00BE6DCB">
      <w:pPr>
        <w:tabs>
          <w:tab w:val="left" w:pos="993"/>
        </w:tabs>
        <w:ind w:left="709" w:right="-2" w:firstLine="0"/>
        <w:rPr>
          <w:rFonts w:eastAsia="Calibri"/>
          <w:szCs w:val="28"/>
          <w:lang w:eastAsia="lt-LT"/>
        </w:rPr>
      </w:pPr>
      <w:r w:rsidRPr="0061024A">
        <w:rPr>
          <w:rFonts w:eastAsia="Calibri"/>
          <w:szCs w:val="28"/>
          <w:lang w:eastAsia="lt-LT"/>
        </w:rPr>
        <w:t>кваліфікованої електронної позначки часу.</w:t>
      </w:r>
    </w:p>
    <w:p w:rsidR="00BE6DCB" w:rsidRPr="0061024A" w:rsidRDefault="00BE6DCB" w:rsidP="00BE6DCB">
      <w:pPr>
        <w:tabs>
          <w:tab w:val="left" w:pos="993"/>
        </w:tabs>
        <w:ind w:left="709" w:right="-2" w:firstLine="0"/>
        <w:rPr>
          <w:rFonts w:eastAsia="Calibri"/>
          <w:szCs w:val="28"/>
          <w:lang w:eastAsia="lt-LT"/>
        </w:rPr>
      </w:pPr>
    </w:p>
    <w:p w:rsidR="00BE6DCB" w:rsidRDefault="00BE6DCB" w:rsidP="00BE6DCB">
      <w:pPr>
        <w:numPr>
          <w:ilvl w:val="0"/>
          <w:numId w:val="1"/>
        </w:numPr>
        <w:tabs>
          <w:tab w:val="clear" w:pos="720"/>
          <w:tab w:val="left" w:pos="709"/>
          <w:tab w:val="left" w:pos="993"/>
        </w:tabs>
        <w:ind w:left="0" w:right="-2" w:firstLine="709"/>
        <w:contextualSpacing/>
        <w:rPr>
          <w:rFonts w:eastAsia="Calibri"/>
          <w:szCs w:val="28"/>
          <w:lang w:eastAsia="lt-LT"/>
        </w:rPr>
      </w:pPr>
      <w:r w:rsidRPr="0061024A">
        <w:rPr>
          <w:rFonts w:eastAsia="Calibri"/>
          <w:szCs w:val="28"/>
          <w:lang w:eastAsia="lt-LT"/>
        </w:rPr>
        <w:t xml:space="preserve">Далі в таблиці 1 знаходимо основну послугу «Електронні довірчі послуги», яка відповідає підсектору «інформаційні технології інформаційного сектору». Уповноважений орган – Міністерство цифрової трансформації України.  </w:t>
      </w:r>
    </w:p>
    <w:p w:rsidR="00BE6DCB" w:rsidRPr="0061024A" w:rsidRDefault="00BE6DCB" w:rsidP="00BE6DCB">
      <w:pPr>
        <w:tabs>
          <w:tab w:val="left" w:pos="993"/>
        </w:tabs>
        <w:ind w:left="709" w:right="-2" w:firstLine="0"/>
        <w:contextualSpacing/>
        <w:rPr>
          <w:rFonts w:eastAsia="Calibri"/>
          <w:szCs w:val="28"/>
          <w:lang w:eastAsia="lt-LT"/>
        </w:rPr>
      </w:pPr>
      <w:bookmarkStart w:id="0" w:name="_GoBack"/>
      <w:bookmarkEnd w:id="0"/>
    </w:p>
    <w:p w:rsidR="00BE6DCB" w:rsidRPr="0061024A" w:rsidRDefault="00BE6DCB" w:rsidP="00BE6DCB">
      <w:pPr>
        <w:numPr>
          <w:ilvl w:val="0"/>
          <w:numId w:val="1"/>
        </w:numPr>
        <w:tabs>
          <w:tab w:val="clear" w:pos="720"/>
          <w:tab w:val="left" w:pos="993"/>
        </w:tabs>
        <w:ind w:left="0" w:right="-2" w:firstLine="709"/>
        <w:contextualSpacing/>
        <w:rPr>
          <w:rFonts w:eastAsia="Calibri"/>
          <w:szCs w:val="28"/>
          <w:lang w:eastAsia="lt-LT"/>
        </w:rPr>
      </w:pPr>
      <w:r w:rsidRPr="0061024A">
        <w:rPr>
          <w:rFonts w:eastAsia="Calibri"/>
          <w:szCs w:val="28"/>
          <w:lang w:eastAsia="lt-LT"/>
        </w:rPr>
        <w:t xml:space="preserve">Далі визначається рівень негативного впливу об’єкта критичної інфраструктури за секторальним критерієм (додаток 1 </w:t>
      </w:r>
      <w:r w:rsidRPr="0061024A">
        <w:rPr>
          <w:szCs w:val="28"/>
        </w:rPr>
        <w:t>до Методики віднесення об’єкта критичної інфраструктури до однієї з категорій критичності). Згідно з додатком 1 КНЕДП буде оцінюватися за критерієм пункту 4 цього додатка. У разі інциденту в КНЕДП надання електронних довірчих послуг буде припинено для всіх клієнтів центру (більше ніж 900</w:t>
      </w:r>
      <w:r>
        <w:rPr>
          <w:szCs w:val="28"/>
        </w:rPr>
        <w:t> </w:t>
      </w:r>
      <w:r w:rsidRPr="0061024A">
        <w:rPr>
          <w:szCs w:val="28"/>
        </w:rPr>
        <w:t>000). Тому за секторальним критерієм КНЕДП отримує 4 бали.</w:t>
      </w:r>
    </w:p>
    <w:p w:rsidR="00BE6DCB" w:rsidRPr="0061024A" w:rsidRDefault="00BE6DCB" w:rsidP="00BE6DCB">
      <w:pPr>
        <w:tabs>
          <w:tab w:val="left" w:pos="993"/>
        </w:tabs>
        <w:ind w:right="-2"/>
        <w:contextualSpacing/>
        <w:rPr>
          <w:rFonts w:eastAsia="Calibri"/>
          <w:szCs w:val="28"/>
          <w:lang w:eastAsia="lt-LT"/>
        </w:rPr>
      </w:pPr>
      <w:r w:rsidRPr="0061024A">
        <w:rPr>
          <w:rFonts w:eastAsia="Calibri"/>
          <w:szCs w:val="28"/>
          <w:lang w:eastAsia="lt-LT"/>
        </w:rPr>
        <w:t xml:space="preserve">Далі наведено приклад заповнення додатка 1 </w:t>
      </w:r>
      <w:r w:rsidRPr="0061024A">
        <w:rPr>
          <w:szCs w:val="28"/>
        </w:rPr>
        <w:t>до Методики віднесення об’єкта критичної інфраструктури до однієї з категорій критичності.</w:t>
      </w:r>
    </w:p>
    <w:p w:rsidR="00BE6DCB" w:rsidRPr="0061024A" w:rsidRDefault="00BE6DCB" w:rsidP="00BE6DCB">
      <w:pPr>
        <w:ind w:firstLine="0"/>
        <w:jc w:val="left"/>
        <w:rPr>
          <w:rFonts w:eastAsia="Calibri"/>
          <w:szCs w:val="28"/>
          <w:lang w:eastAsia="lt-LT"/>
        </w:rPr>
        <w:sectPr w:rsidR="00BE6DCB" w:rsidRPr="0061024A" w:rsidSect="0061024A">
          <w:headerReference w:type="default" r:id="rId8"/>
          <w:headerReference w:type="first" r:id="rId9"/>
          <w:pgSz w:w="11906" w:h="16838"/>
          <w:pgMar w:top="1134" w:right="566" w:bottom="851" w:left="1985" w:header="0" w:footer="0" w:gutter="0"/>
          <w:cols w:space="720"/>
          <w:formProt w:val="0"/>
          <w:titlePg/>
          <w:docGrid w:linePitch="286"/>
        </w:sectPr>
      </w:pPr>
    </w:p>
    <w:p w:rsidR="00BE6DCB" w:rsidRPr="0061024A" w:rsidRDefault="00BE6DCB" w:rsidP="00BE6DCB">
      <w:pPr>
        <w:tabs>
          <w:tab w:val="left" w:pos="993"/>
        </w:tabs>
        <w:jc w:val="center"/>
        <w:rPr>
          <w:rFonts w:eastAsia="Calibri"/>
          <w:szCs w:val="28"/>
          <w:lang w:eastAsia="lt-LT"/>
        </w:rPr>
      </w:pPr>
      <w:r>
        <w:rPr>
          <w:noProof/>
          <w:lang w:eastAsia="uk-UA"/>
        </w:rPr>
        <w:lastRenderedPageBreak/>
        <mc:AlternateContent>
          <mc:Choice Requires="wps">
            <w:drawing>
              <wp:anchor distT="0" distB="0" distL="0" distR="0" simplePos="0" relativeHeight="251659264" behindDoc="1" locked="0" layoutInCell="1" allowOverlap="1" wp14:anchorId="2DB568BA" wp14:editId="237F62D7">
                <wp:simplePos x="0" y="0"/>
                <wp:positionH relativeFrom="margin">
                  <wp:posOffset>7257415</wp:posOffset>
                </wp:positionH>
                <wp:positionV relativeFrom="paragraph">
                  <wp:posOffset>-737235</wp:posOffset>
                </wp:positionV>
                <wp:extent cx="2088515" cy="351790"/>
                <wp:effectExtent l="0" t="0" r="26035" b="1016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351790"/>
                        </a:xfrm>
                        <a:prstGeom prst="rect">
                          <a:avLst/>
                        </a:prstGeom>
                        <a:solidFill>
                          <a:srgbClr val="FFFFFF"/>
                        </a:solidFill>
                        <a:ln w="9360">
                          <a:solidFill>
                            <a:srgbClr val="FFFFFF"/>
                          </a:solidFill>
                          <a:miter/>
                        </a:ln>
                        <a:effectLst/>
                      </wps:spPr>
                      <wps:txbx>
                        <w:txbxContent>
                          <w:p w:rsidR="00BE6DCB" w:rsidRDefault="00BE6DCB" w:rsidP="00BE6DCB">
                            <w:pPr>
                              <w:pStyle w:val="a6"/>
                              <w:ind w:firstLine="0"/>
                            </w:pPr>
                            <w:r>
                              <w:t>Продовження додатка 1</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DB568BA" id="Прямоугольник 11" o:spid="_x0000_s1026" style="position:absolute;left:0;text-align:left;margin-left:571.45pt;margin-top:-58.05pt;width:164.45pt;height:27.7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" strokecolor="white" strokeweight=".26mm">
                <v:path arrowok="t"/>
                <v:textbox>
                  <w:txbxContent>
                    <w:p w:rsidR="00BE6DCB" w:rsidRDefault="00BE6DCB" w:rsidP="00BE6DCB">
                      <w:pPr>
                        <w:pStyle w:val="a6"/>
                        <w:ind w:firstLine="0"/>
                      </w:pPr>
                      <w:r>
                        <w:t>Продовження додатка 1</w:t>
                      </w:r>
                    </w:p>
                  </w:txbxContent>
                </v:textbox>
                <w10:wrap anchorx="margin"/>
              </v:rect>
            </w:pict>
          </mc:Fallback>
        </mc:AlternateContent>
      </w:r>
      <w:r w:rsidRPr="0061024A">
        <w:rPr>
          <w:rFonts w:eastAsia="Calibri"/>
          <w:szCs w:val="28"/>
          <w:lang w:eastAsia="lt-LT"/>
        </w:rPr>
        <w:t xml:space="preserve">Приклад заповнення додатка 1 до Методики віднесення об’єкта критичної інфраструктури </w:t>
      </w:r>
    </w:p>
    <w:p w:rsidR="00BE6DCB" w:rsidRPr="0061024A" w:rsidRDefault="00BE6DCB" w:rsidP="00BE6DCB">
      <w:pPr>
        <w:tabs>
          <w:tab w:val="left" w:pos="993"/>
        </w:tabs>
        <w:jc w:val="center"/>
        <w:rPr>
          <w:rFonts w:eastAsia="Calibri"/>
          <w:szCs w:val="28"/>
        </w:rPr>
      </w:pPr>
      <w:r w:rsidRPr="0061024A">
        <w:rPr>
          <w:rFonts w:eastAsia="Calibri"/>
          <w:szCs w:val="28"/>
          <w:lang w:eastAsia="lt-LT"/>
        </w:rPr>
        <w:t>до однієї з категорій критичності</w:t>
      </w:r>
    </w:p>
    <w:tbl>
      <w:tblPr>
        <w:tblW w:w="15134" w:type="dxa"/>
        <w:tblInd w:w="-459" w:type="dxa"/>
        <w:tblLook w:val="04A0" w:firstRow="1" w:lastRow="0" w:firstColumn="1" w:lastColumn="0" w:noHBand="0" w:noVBand="1"/>
      </w:tblPr>
      <w:tblGrid>
        <w:gridCol w:w="559"/>
        <w:gridCol w:w="2383"/>
        <w:gridCol w:w="3854"/>
        <w:gridCol w:w="2834"/>
        <w:gridCol w:w="2267"/>
        <w:gridCol w:w="2268"/>
        <w:gridCol w:w="969"/>
      </w:tblGrid>
      <w:tr w:rsidR="00BE6DCB" w:rsidRPr="0061024A" w:rsidTr="00874798">
        <w:trPr>
          <w:trHeight w:val="23"/>
        </w:trPr>
        <w:tc>
          <w:tcPr>
            <w:tcW w:w="559" w:type="dxa"/>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tabs>
                <w:tab w:val="left" w:pos="203"/>
                <w:tab w:val="left" w:pos="1134"/>
              </w:tabs>
              <w:ind w:firstLine="0"/>
              <w:jc w:val="center"/>
              <w:rPr>
                <w:rFonts w:eastAsia="Calibri"/>
                <w:sz w:val="24"/>
                <w:szCs w:val="24"/>
                <w:lang w:eastAsia="lt-LT"/>
              </w:rPr>
            </w:pPr>
            <w:r w:rsidRPr="0061024A">
              <w:rPr>
                <w:rFonts w:eastAsia="Calibri"/>
                <w:sz w:val="24"/>
                <w:szCs w:val="24"/>
                <w:lang w:eastAsia="lt-LT"/>
              </w:rPr>
              <w:t>№</w:t>
            </w:r>
          </w:p>
        </w:tc>
        <w:tc>
          <w:tcPr>
            <w:tcW w:w="2383" w:type="dxa"/>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tabs>
                <w:tab w:val="left" w:pos="203"/>
                <w:tab w:val="left" w:pos="1134"/>
              </w:tabs>
              <w:ind w:firstLine="0"/>
              <w:jc w:val="center"/>
              <w:rPr>
                <w:rFonts w:eastAsia="Calibri"/>
                <w:sz w:val="24"/>
                <w:szCs w:val="24"/>
                <w:lang w:eastAsia="lt-LT"/>
              </w:rPr>
            </w:pPr>
            <w:r w:rsidRPr="0061024A">
              <w:rPr>
                <w:rFonts w:eastAsia="Calibri"/>
                <w:sz w:val="24"/>
                <w:szCs w:val="24"/>
                <w:lang w:eastAsia="lt-LT"/>
              </w:rPr>
              <w:t>Сектор/підсектор</w:t>
            </w:r>
          </w:p>
        </w:tc>
        <w:tc>
          <w:tcPr>
            <w:tcW w:w="3854" w:type="dxa"/>
            <w:tcBorders>
              <w:top w:val="single" w:sz="4" w:space="0" w:color="000000"/>
              <w:left w:val="single" w:sz="4" w:space="0" w:color="000000"/>
              <w:bottom w:val="single" w:sz="18" w:space="0" w:color="000000"/>
              <w:right w:val="single" w:sz="4" w:space="0" w:color="000000"/>
            </w:tcBorders>
            <w:vAlign w:val="center"/>
          </w:tcPr>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Рівень негативного впливу: катастрофічні наслідки</w:t>
            </w:r>
          </w:p>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(4 бали)</w:t>
            </w:r>
          </w:p>
        </w:tc>
        <w:tc>
          <w:tcPr>
            <w:tcW w:w="2834" w:type="dxa"/>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 xml:space="preserve">Рівень негативного впливу: критичні наслідки </w:t>
            </w:r>
          </w:p>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(3 бали)</w:t>
            </w:r>
          </w:p>
        </w:tc>
        <w:tc>
          <w:tcPr>
            <w:tcW w:w="2267" w:type="dxa"/>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Рівень негативного впливу: значні наслідки</w:t>
            </w:r>
          </w:p>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 xml:space="preserve"> (2 бали)</w:t>
            </w:r>
          </w:p>
        </w:tc>
        <w:tc>
          <w:tcPr>
            <w:tcW w:w="2268" w:type="dxa"/>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 xml:space="preserve">Рівень негативного впливу: незначні наслідки </w:t>
            </w:r>
          </w:p>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 xml:space="preserve"> (1 бал) </w:t>
            </w:r>
          </w:p>
        </w:tc>
        <w:tc>
          <w:tcPr>
            <w:tcW w:w="969"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Оцінка</w:t>
            </w:r>
          </w:p>
          <w:p w:rsidR="00BE6DCB" w:rsidRPr="00BE6DCB" w:rsidRDefault="009B31E9" w:rsidP="00874798">
            <w:pPr>
              <w:tabs>
                <w:tab w:val="left" w:pos="203"/>
                <w:tab w:val="left" w:pos="1134"/>
              </w:tabs>
              <w:ind w:firstLine="0"/>
              <w:jc w:val="center"/>
              <w:rPr>
                <w:rFonts w:eastAsia="Calibri"/>
                <w:bCs/>
                <w:sz w:val="24"/>
                <w:szCs w:val="24"/>
                <w:lang w:eastAsia="lt-LT"/>
              </w:rPr>
            </w:pPr>
            <m:oMathPara>
              <m:oMath>
                <m:sSub>
                  <m:sSubPr>
                    <m:ctrlPr>
                      <w:rPr>
                        <w:rFonts w:ascii="Cambria Math" w:hAnsi="Cambria Math"/>
                      </w:rPr>
                    </m:ctrlPr>
                  </m:sSubPr>
                  <m:e>
                    <m:r>
                      <w:rPr>
                        <w:rFonts w:ascii="Cambria Math" w:hAnsi="Cambria Math"/>
                      </w:rPr>
                      <m:t>PK</m:t>
                    </m:r>
                  </m:e>
                  <m:sub>
                    <m:r>
                      <w:rPr>
                        <w:rFonts w:ascii="Cambria Math" w:hAnsi="Cambria Math"/>
                      </w:rPr>
                      <m:t>i</m:t>
                    </m:r>
                  </m:sub>
                </m:sSub>
              </m:oMath>
            </m:oMathPara>
          </w:p>
        </w:tc>
      </w:tr>
      <w:tr w:rsidR="00BE6DCB" w:rsidRPr="0061024A" w:rsidTr="00874798">
        <w:trPr>
          <w:trHeight w:val="3506"/>
        </w:trPr>
        <w:tc>
          <w:tcPr>
            <w:tcW w:w="559" w:type="dxa"/>
            <w:vMerge w:val="restart"/>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sz w:val="24"/>
                <w:szCs w:val="24"/>
                <w:lang w:eastAsia="lt-LT"/>
              </w:rPr>
            </w:pPr>
            <w:r w:rsidRPr="0061024A">
              <w:rPr>
                <w:rFonts w:eastAsia="Calibri"/>
                <w:sz w:val="24"/>
                <w:szCs w:val="24"/>
                <w:lang w:eastAsia="lt-LT"/>
              </w:rPr>
              <w:t>4.</w:t>
            </w:r>
          </w:p>
        </w:tc>
        <w:tc>
          <w:tcPr>
            <w:tcW w:w="2383" w:type="dxa"/>
            <w:vMerge w:val="restart"/>
            <w:tcBorders>
              <w:top w:val="single" w:sz="4" w:space="0" w:color="000000"/>
              <w:left w:val="single" w:sz="4" w:space="0" w:color="000000"/>
              <w:bottom w:val="single" w:sz="4" w:space="0" w:color="000000"/>
              <w:right w:val="single" w:sz="18" w:space="0" w:color="000000"/>
            </w:tcBorders>
          </w:tcPr>
          <w:p w:rsidR="00BE6DCB" w:rsidRPr="0061024A" w:rsidRDefault="00BE6DCB" w:rsidP="00874798">
            <w:pPr>
              <w:widowControl w:val="0"/>
              <w:tabs>
                <w:tab w:val="left" w:pos="203"/>
                <w:tab w:val="left" w:pos="1134"/>
              </w:tabs>
              <w:ind w:firstLine="0"/>
              <w:jc w:val="left"/>
              <w:rPr>
                <w:rFonts w:eastAsia="Calibri"/>
                <w:sz w:val="24"/>
                <w:szCs w:val="24"/>
                <w:lang w:eastAsia="lt-LT"/>
              </w:rPr>
            </w:pPr>
            <w:r w:rsidRPr="0061024A">
              <w:rPr>
                <w:rFonts w:eastAsia="Calibri"/>
                <w:sz w:val="24"/>
                <w:szCs w:val="24"/>
                <w:lang w:eastAsia="lt-LT"/>
              </w:rPr>
              <w:t xml:space="preserve">Послуги, що надаються інформаційним сектором: </w:t>
            </w:r>
          </w:p>
          <w:p w:rsidR="00BE6DCB" w:rsidRPr="0061024A" w:rsidRDefault="00BE6DCB" w:rsidP="00874798">
            <w:pPr>
              <w:widowControl w:val="0"/>
              <w:tabs>
                <w:tab w:val="left" w:pos="203"/>
                <w:tab w:val="left" w:pos="1134"/>
              </w:tabs>
              <w:ind w:firstLine="0"/>
              <w:jc w:val="left"/>
              <w:rPr>
                <w:rFonts w:eastAsia="Calibri"/>
                <w:sz w:val="24"/>
                <w:szCs w:val="24"/>
                <w:lang w:eastAsia="lt-LT"/>
              </w:rPr>
            </w:pPr>
            <w:r w:rsidRPr="0061024A">
              <w:rPr>
                <w:rFonts w:eastAsia="Calibri"/>
                <w:sz w:val="24"/>
                <w:szCs w:val="24"/>
                <w:lang w:eastAsia="lt-LT"/>
              </w:rPr>
              <w:t>у разі знищення, пошкодження або порушення функціонування об’єкта критичної інфраструктури припиниться або порушиться надання основних послуг об’єктом</w:t>
            </w:r>
          </w:p>
        </w:tc>
        <w:tc>
          <w:tcPr>
            <w:tcW w:w="3854" w:type="dxa"/>
            <w:tcBorders>
              <w:top w:val="single" w:sz="18" w:space="0" w:color="000000"/>
              <w:left w:val="single" w:sz="18" w:space="0" w:color="000000"/>
              <w:bottom w:val="single" w:sz="18" w:space="0" w:color="000000"/>
              <w:right w:val="single" w:sz="18" w:space="0" w:color="000000"/>
            </w:tcBorders>
            <w:shd w:val="pct12" w:color="auto" w:fill="auto"/>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для більш як 145 000 жителів на території більш як однієї області АБО на території не менш як трьох міст обласного значення</w:t>
            </w:r>
          </w:p>
        </w:tc>
        <w:tc>
          <w:tcPr>
            <w:tcW w:w="2834" w:type="dxa"/>
            <w:tcBorders>
              <w:top w:val="single" w:sz="4" w:space="0" w:color="000000"/>
              <w:left w:val="single" w:sz="18" w:space="0" w:color="000000"/>
              <w:bottom w:val="single" w:sz="4" w:space="0" w:color="000000"/>
              <w:right w:val="single" w:sz="4" w:space="0" w:color="000000"/>
            </w:tcBorders>
          </w:tcPr>
          <w:p w:rsidR="00BE6DCB" w:rsidRPr="0061024A" w:rsidRDefault="00BE6DCB" w:rsidP="00874798">
            <w:pPr>
              <w:keepNext/>
              <w:keepLines/>
              <w:tabs>
                <w:tab w:val="left" w:pos="-11127"/>
              </w:tabs>
              <w:ind w:firstLine="0"/>
              <w:jc w:val="left"/>
              <w:rPr>
                <w:rFonts w:eastAsia="Calibri"/>
                <w:sz w:val="24"/>
                <w:szCs w:val="24"/>
                <w:lang w:eastAsia="lt-LT"/>
              </w:rPr>
            </w:pPr>
            <w:r w:rsidRPr="0061024A">
              <w:rPr>
                <w:rFonts w:eastAsia="Calibri"/>
                <w:sz w:val="24"/>
                <w:szCs w:val="24"/>
                <w:lang w:eastAsia="lt-LT"/>
              </w:rPr>
              <w:t>для більш як 20 000 жителів на території однієї області АБО на території більш як одного району міста — обласного центру, АБО на всій території одного міста обласного значення</w:t>
            </w:r>
          </w:p>
        </w:tc>
        <w:tc>
          <w:tcPr>
            <w:tcW w:w="2267"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для більш як 2000 жителів</w:t>
            </w:r>
          </w:p>
        </w:tc>
        <w:tc>
          <w:tcPr>
            <w:tcW w:w="22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для менше як 2000 жителів</w:t>
            </w:r>
          </w:p>
        </w:tc>
        <w:tc>
          <w:tcPr>
            <w:tcW w:w="969"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rFonts w:eastAsia="Calibri"/>
                <w:b/>
                <w:sz w:val="24"/>
                <w:szCs w:val="24"/>
                <w:lang w:eastAsia="lt-LT"/>
              </w:rPr>
            </w:pPr>
            <w:r w:rsidRPr="0061024A">
              <w:rPr>
                <w:rFonts w:eastAsia="Calibri"/>
                <w:b/>
                <w:sz w:val="24"/>
                <w:szCs w:val="24"/>
                <w:lang w:eastAsia="lt-LT"/>
              </w:rPr>
              <w:t>4</w:t>
            </w:r>
          </w:p>
        </w:tc>
      </w:tr>
      <w:tr w:rsidR="00BE6DCB" w:rsidRPr="0061024A" w:rsidTr="00874798">
        <w:trPr>
          <w:trHeight w:val="1522"/>
        </w:trPr>
        <w:tc>
          <w:tcPr>
            <w:tcW w:w="559"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2383" w:type="dxa"/>
            <w:vMerge/>
            <w:tcBorders>
              <w:top w:val="single" w:sz="4" w:space="0" w:color="000000"/>
              <w:left w:val="single" w:sz="4" w:space="0" w:color="000000"/>
              <w:bottom w:val="single" w:sz="4" w:space="0" w:color="000000"/>
              <w:right w:val="single" w:sz="18" w:space="0" w:color="000000"/>
            </w:tcBorders>
            <w:vAlign w:val="center"/>
          </w:tcPr>
          <w:p w:rsidR="00BE6DCB" w:rsidRPr="0061024A" w:rsidRDefault="00BE6DCB" w:rsidP="00874798">
            <w:pPr>
              <w:ind w:firstLine="0"/>
              <w:jc w:val="left"/>
              <w:rPr>
                <w:rFonts w:eastAsia="Calibri"/>
                <w:sz w:val="24"/>
                <w:szCs w:val="24"/>
                <w:lang w:eastAsia="lt-LT"/>
              </w:rPr>
            </w:pPr>
          </w:p>
        </w:tc>
        <w:tc>
          <w:tcPr>
            <w:tcW w:w="3854" w:type="dxa"/>
            <w:tcBorders>
              <w:top w:val="single" w:sz="18" w:space="0" w:color="000000"/>
              <w:left w:val="single" w:sz="18" w:space="0" w:color="000000"/>
              <w:bottom w:val="single" w:sz="18" w:space="0" w:color="000000"/>
              <w:right w:val="single" w:sz="18" w:space="0" w:color="000000"/>
            </w:tcBorders>
            <w:shd w:val="pct12" w:color="auto" w:fill="auto"/>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час відновлення функціонування у штатному режимі не може перевищувати 6 годин</w:t>
            </w:r>
          </w:p>
        </w:tc>
        <w:tc>
          <w:tcPr>
            <w:tcW w:w="2834" w:type="dxa"/>
            <w:tcBorders>
              <w:top w:val="single" w:sz="4" w:space="0" w:color="000000"/>
              <w:left w:val="single" w:sz="18" w:space="0" w:color="000000"/>
              <w:bottom w:val="single" w:sz="4" w:space="0" w:color="000000"/>
              <w:right w:val="single" w:sz="4" w:space="0" w:color="000000"/>
            </w:tcBorders>
          </w:tcPr>
          <w:p w:rsidR="00BE6DCB" w:rsidRPr="0061024A" w:rsidRDefault="00BE6DCB" w:rsidP="00874798">
            <w:pPr>
              <w:keepNext/>
              <w:keepLines/>
              <w:tabs>
                <w:tab w:val="left" w:pos="-11127"/>
              </w:tabs>
              <w:ind w:firstLine="0"/>
              <w:jc w:val="left"/>
              <w:rPr>
                <w:rFonts w:eastAsia="Calibri"/>
                <w:sz w:val="24"/>
                <w:szCs w:val="24"/>
                <w:lang w:eastAsia="lt-LT"/>
              </w:rPr>
            </w:pPr>
            <w:r w:rsidRPr="0061024A">
              <w:rPr>
                <w:rFonts w:eastAsia="Calibri"/>
                <w:sz w:val="24"/>
                <w:szCs w:val="24"/>
                <w:lang w:eastAsia="lt-LT"/>
              </w:rPr>
              <w:t>час відновлення функціонування у штатному режимі може становити від 6 до 24 годин</w:t>
            </w:r>
          </w:p>
        </w:tc>
        <w:tc>
          <w:tcPr>
            <w:tcW w:w="2267"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 xml:space="preserve">час відновлення функціонування у штатному режимі  може становити від однієї до трьох діб </w:t>
            </w:r>
          </w:p>
        </w:tc>
        <w:tc>
          <w:tcPr>
            <w:tcW w:w="22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час відновлення функціонування у штатному режимі може бути більше трьох діб</w:t>
            </w:r>
          </w:p>
        </w:tc>
        <w:tc>
          <w:tcPr>
            <w:tcW w:w="969"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rFonts w:eastAsia="Calibri"/>
                <w:b/>
                <w:sz w:val="24"/>
                <w:szCs w:val="24"/>
                <w:lang w:eastAsia="lt-LT"/>
              </w:rPr>
            </w:pPr>
            <w:r w:rsidRPr="0061024A">
              <w:rPr>
                <w:rFonts w:eastAsia="Calibri"/>
                <w:b/>
                <w:sz w:val="24"/>
                <w:szCs w:val="24"/>
                <w:lang w:eastAsia="lt-LT"/>
              </w:rPr>
              <w:t>4</w:t>
            </w:r>
          </w:p>
        </w:tc>
      </w:tr>
      <w:tr w:rsidR="00BE6DCB" w:rsidRPr="0061024A" w:rsidTr="00874798">
        <w:trPr>
          <w:trHeight w:val="385"/>
        </w:trPr>
        <w:tc>
          <w:tcPr>
            <w:tcW w:w="559"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ind w:firstLine="0"/>
              <w:jc w:val="left"/>
              <w:rPr>
                <w:rFonts w:eastAsia="Calibri"/>
                <w:b/>
                <w:sz w:val="24"/>
                <w:szCs w:val="24"/>
                <w:lang w:eastAsia="lt-LT"/>
              </w:rPr>
            </w:pPr>
          </w:p>
        </w:tc>
        <w:tc>
          <w:tcPr>
            <w:tcW w:w="2383"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ind w:firstLine="0"/>
              <w:jc w:val="left"/>
              <w:rPr>
                <w:rFonts w:ascii="Calibri" w:hAnsi="Calibri"/>
                <w:sz w:val="20"/>
                <w:szCs w:val="20"/>
                <w:lang w:eastAsia="ru-RU"/>
              </w:rPr>
            </w:pPr>
          </w:p>
        </w:tc>
        <w:tc>
          <w:tcPr>
            <w:tcW w:w="3854" w:type="dxa"/>
            <w:tcBorders>
              <w:top w:val="single" w:sz="18" w:space="0" w:color="000000"/>
              <w:left w:val="single" w:sz="4" w:space="0" w:color="000000"/>
              <w:bottom w:val="single" w:sz="4" w:space="0" w:color="000000"/>
              <w:right w:val="single" w:sz="4" w:space="0" w:color="000000"/>
            </w:tcBorders>
          </w:tcPr>
          <w:p w:rsidR="00BE6DCB" w:rsidRPr="0061024A" w:rsidRDefault="00BE6DCB" w:rsidP="00874798">
            <w:pPr>
              <w:ind w:firstLine="0"/>
              <w:jc w:val="left"/>
              <w:rPr>
                <w:rFonts w:ascii="Calibri" w:hAnsi="Calibri"/>
                <w:sz w:val="20"/>
                <w:szCs w:val="20"/>
                <w:lang w:eastAsia="ru-RU"/>
              </w:rPr>
            </w:pPr>
          </w:p>
        </w:tc>
        <w:tc>
          <w:tcPr>
            <w:tcW w:w="2834"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ind w:firstLine="0"/>
              <w:jc w:val="left"/>
              <w:rPr>
                <w:rFonts w:ascii="Calibri" w:hAnsi="Calibri"/>
                <w:sz w:val="20"/>
                <w:szCs w:val="20"/>
                <w:lang w:eastAsia="ru-RU"/>
              </w:rPr>
            </w:pPr>
          </w:p>
        </w:tc>
        <w:tc>
          <w:tcPr>
            <w:tcW w:w="4535" w:type="dxa"/>
            <w:gridSpan w:val="2"/>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 xml:space="preserve">Сумарна оцінка      </w:t>
            </w:r>
            <m:oMath>
              <m:sSub>
                <m:sSubPr>
                  <m:ctrlPr>
                    <w:rPr>
                      <w:rFonts w:ascii="Cambria Math" w:hAnsi="Cambria Math"/>
                    </w:rPr>
                  </m:ctrlPr>
                </m:sSubPr>
                <m:e>
                  <m:r>
                    <w:rPr>
                      <w:rFonts w:ascii="Cambria Math" w:hAnsi="Cambria Math"/>
                    </w:rPr>
                    <m:t>PK</m:t>
                  </m:r>
                </m:e>
                <m:sub>
                  <m:r>
                    <w:rPr>
                      <w:rFonts w:ascii="Cambria Math" w:hAnsi="Cambria Math"/>
                    </w:rPr>
                    <m:t>i</m:t>
                  </m:r>
                </m:sub>
              </m:sSub>
            </m:oMath>
          </w:p>
        </w:tc>
        <w:tc>
          <w:tcPr>
            <w:tcW w:w="969"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rFonts w:eastAsia="Calibri"/>
                <w:b/>
                <w:sz w:val="24"/>
                <w:szCs w:val="24"/>
                <w:lang w:eastAsia="lt-LT"/>
              </w:rPr>
            </w:pPr>
            <w:r w:rsidRPr="0061024A">
              <w:rPr>
                <w:rFonts w:eastAsia="Calibri"/>
                <w:b/>
                <w:sz w:val="24"/>
                <w:szCs w:val="24"/>
                <w:lang w:eastAsia="lt-LT"/>
              </w:rPr>
              <w:t>8</w:t>
            </w:r>
          </w:p>
        </w:tc>
      </w:tr>
    </w:tbl>
    <w:p w:rsidR="00BE6DCB" w:rsidRPr="0061024A" w:rsidRDefault="00BE6DCB" w:rsidP="00BE6DCB">
      <w:pPr>
        <w:sectPr w:rsidR="00BE6DCB" w:rsidRPr="0061024A">
          <w:pgSz w:w="16838" w:h="11906" w:orient="landscape"/>
          <w:pgMar w:top="1701" w:right="567" w:bottom="850" w:left="1701" w:header="0" w:footer="0" w:gutter="0"/>
          <w:cols w:space="720"/>
          <w:formProt w:val="0"/>
          <w:docGrid w:linePitch="100"/>
        </w:sectPr>
      </w:pPr>
    </w:p>
    <w:p w:rsidR="00BE6DCB" w:rsidRPr="0061024A" w:rsidRDefault="00BE6DCB" w:rsidP="00BE6DCB">
      <w:pPr>
        <w:numPr>
          <w:ilvl w:val="0"/>
          <w:numId w:val="1"/>
        </w:numPr>
        <w:tabs>
          <w:tab w:val="clear" w:pos="720"/>
          <w:tab w:val="left" w:pos="142"/>
          <w:tab w:val="left" w:pos="993"/>
        </w:tabs>
        <w:ind w:left="0" w:right="-2" w:firstLine="709"/>
        <w:contextualSpacing/>
        <w:rPr>
          <w:rFonts w:eastAsia="Calibri"/>
          <w:szCs w:val="28"/>
          <w:lang w:eastAsia="lt-LT"/>
        </w:rPr>
      </w:pPr>
      <w:r>
        <w:rPr>
          <w:noProof/>
          <w:lang w:eastAsia="uk-UA"/>
        </w:rPr>
        <w:lastRenderedPageBreak/>
        <mc:AlternateContent>
          <mc:Choice Requires="wps">
            <w:drawing>
              <wp:anchor distT="0" distB="0" distL="0" distR="0" simplePos="0" relativeHeight="251660288" behindDoc="1" locked="0" layoutInCell="1" allowOverlap="1" wp14:anchorId="68FF9F94" wp14:editId="3199E9ED">
                <wp:simplePos x="0" y="0"/>
                <wp:positionH relativeFrom="margin">
                  <wp:posOffset>4184650</wp:posOffset>
                </wp:positionH>
                <wp:positionV relativeFrom="paragraph">
                  <wp:posOffset>-520065</wp:posOffset>
                </wp:positionV>
                <wp:extent cx="2088515" cy="351790"/>
                <wp:effectExtent l="0" t="0" r="26035" b="1016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351790"/>
                        </a:xfrm>
                        <a:prstGeom prst="rect">
                          <a:avLst/>
                        </a:prstGeom>
                        <a:solidFill>
                          <a:srgbClr val="FFFFFF"/>
                        </a:solidFill>
                        <a:ln w="9360">
                          <a:solidFill>
                            <a:srgbClr val="FFFFFF"/>
                          </a:solidFill>
                          <a:miter/>
                        </a:ln>
                        <a:effectLst/>
                      </wps:spPr>
                      <wps:txbx>
                        <w:txbxContent>
                          <w:p w:rsidR="00BE6DCB" w:rsidRDefault="00BE6DCB" w:rsidP="00BE6DCB">
                            <w:pPr>
                              <w:pStyle w:val="a6"/>
                              <w:ind w:firstLine="0"/>
                            </w:pPr>
                            <w:r>
                              <w:t>Продовження додатка 1</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68FF9F94" id="Прямоугольник 9" o:spid="_x0000_s1027" style="position:absolute;left:0;text-align:left;margin-left:329.5pt;margin-top:-40.95pt;width:164.45pt;height:27.7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" strokecolor="white" strokeweight=".26mm">
                <v:path arrowok="t"/>
                <v:textbox>
                  <w:txbxContent>
                    <w:p w:rsidR="00BE6DCB" w:rsidRDefault="00BE6DCB" w:rsidP="00BE6DCB">
                      <w:pPr>
                        <w:pStyle w:val="a6"/>
                        <w:ind w:firstLine="0"/>
                      </w:pPr>
                      <w:r>
                        <w:t>Продовження додатка 1</w:t>
                      </w:r>
                    </w:p>
                  </w:txbxContent>
                </v:textbox>
                <w10:wrap anchorx="margin"/>
              </v:rect>
            </w:pict>
          </mc:Fallback>
        </mc:AlternateContent>
      </w:r>
      <w:r w:rsidRPr="0061024A">
        <w:rPr>
          <w:szCs w:val="28"/>
        </w:rPr>
        <w:t>Далі проводиться оцінка за міжсекторальними критеріями (додаток 2 до Методики). Приклад оцінки наведено у таблиці додатка 2 до Методики. Оцінка проводиться шляхом вибору варіанта негативного впливу за кожним критерієм та обґрунтування вибору</w:t>
      </w:r>
      <w:r>
        <w:rPr>
          <w:szCs w:val="28"/>
        </w:rPr>
        <w:t>:</w:t>
      </w:r>
    </w:p>
    <w:p w:rsidR="00BE6DCB" w:rsidRPr="0061024A" w:rsidRDefault="00BE6DCB" w:rsidP="00BE6DCB">
      <w:pPr>
        <w:numPr>
          <w:ilvl w:val="0"/>
          <w:numId w:val="3"/>
        </w:numPr>
        <w:tabs>
          <w:tab w:val="left" w:pos="142"/>
          <w:tab w:val="left" w:pos="1276"/>
        </w:tabs>
        <w:ind w:right="-2"/>
        <w:rPr>
          <w:rFonts w:eastAsia="Calibri"/>
          <w:szCs w:val="28"/>
          <w:lang w:eastAsia="lt-LT"/>
        </w:rPr>
      </w:pPr>
      <w:r>
        <w:rPr>
          <w:rFonts w:eastAsia="Calibri"/>
          <w:szCs w:val="28"/>
          <w:lang w:eastAsia="lt-LT"/>
        </w:rPr>
        <w:t>с</w:t>
      </w:r>
      <w:r w:rsidRPr="0061024A">
        <w:rPr>
          <w:rFonts w:eastAsia="Calibri"/>
          <w:szCs w:val="28"/>
          <w:lang w:eastAsia="lt-LT"/>
        </w:rPr>
        <w:t>оціальна значущість об’єкта критичної інфраструктури</w:t>
      </w:r>
      <w:r>
        <w:rPr>
          <w:rFonts w:eastAsia="Calibri"/>
          <w:szCs w:val="28"/>
          <w:lang w:eastAsia="lt-LT"/>
        </w:rPr>
        <w:t>.</w:t>
      </w:r>
    </w:p>
    <w:p w:rsidR="00BE6DCB" w:rsidRPr="0061024A" w:rsidRDefault="00BE6DCB" w:rsidP="00BE6DCB">
      <w:pPr>
        <w:tabs>
          <w:tab w:val="left" w:pos="142"/>
          <w:tab w:val="left" w:pos="993"/>
        </w:tabs>
        <w:ind w:right="-2"/>
        <w:contextualSpacing/>
        <w:rPr>
          <w:szCs w:val="28"/>
        </w:rPr>
      </w:pPr>
      <w:r w:rsidRPr="0061024A">
        <w:rPr>
          <w:rFonts w:eastAsia="Calibri"/>
          <w:szCs w:val="28"/>
          <w:lang w:eastAsia="lt-LT"/>
        </w:rPr>
        <w:t xml:space="preserve">У разі припинення надання послуг КНЕДП прямої небезпеки для життя та здоров’я людей не існує, тому </w:t>
      </w:r>
      <m:oMath>
        <m:sSub>
          <m:sSubPr>
            <m:ctrlPr>
              <w:rPr>
                <w:rFonts w:ascii="Cambria Math" w:hAnsi="Cambria Math"/>
              </w:rPr>
            </m:ctrlPr>
          </m:sSubPr>
          <m:e>
            <m:r>
              <w:rPr>
                <w:rFonts w:ascii="Cambria Math" w:hAnsi="Cambria Math"/>
              </w:rPr>
              <m:t>PK</m:t>
            </m:r>
          </m:e>
          <m:sub>
            <m:r>
              <w:rPr>
                <w:rFonts w:ascii="Cambria Math" w:hAnsi="Cambria Math"/>
              </w:rPr>
              <m:t>1</m:t>
            </m:r>
          </m:sub>
        </m:sSub>
      </m:oMath>
      <w:r w:rsidRPr="0061024A">
        <w:rPr>
          <w:szCs w:val="28"/>
        </w:rPr>
        <w:t xml:space="preserve">=0. Також за географічним критерієм небезпеки для життя та здоров’я людей не існує </w:t>
      </w:r>
      <m:oMath>
        <m:sSub>
          <m:sSubPr>
            <m:ctrlPr>
              <w:rPr>
                <w:rFonts w:ascii="Cambria Math" w:hAnsi="Cambria Math"/>
              </w:rPr>
            </m:ctrlPr>
          </m:sSubPr>
          <m:e>
            <m:r>
              <w:rPr>
                <w:rFonts w:ascii="Cambria Math" w:hAnsi="Cambria Math"/>
              </w:rPr>
              <m:t>PK</m:t>
            </m:r>
          </m:e>
          <m:sub>
            <m:r>
              <w:rPr>
                <w:rFonts w:ascii="Cambria Math" w:hAnsi="Cambria Math"/>
              </w:rPr>
              <m:t>2</m:t>
            </m:r>
          </m:sub>
        </m:sSub>
      </m:oMath>
      <w:r w:rsidRPr="0061024A">
        <w:rPr>
          <w:szCs w:val="28"/>
        </w:rPr>
        <w:t xml:space="preserve">=0. Заподіяння шкоди навколишньому природному середовищу не має місця. Тому </w:t>
      </w:r>
      <m:oMath>
        <m:sSub>
          <m:sSubPr>
            <m:ctrlPr>
              <w:rPr>
                <w:rFonts w:ascii="Cambria Math" w:hAnsi="Cambria Math"/>
              </w:rPr>
            </m:ctrlPr>
          </m:sSubPr>
          <m:e>
            <m:r>
              <w:rPr>
                <w:rFonts w:ascii="Cambria Math" w:hAnsi="Cambria Math"/>
              </w:rPr>
              <m:t>PK</m:t>
            </m:r>
          </m:e>
          <m:sub>
            <m:r>
              <w:rPr>
                <w:rFonts w:ascii="Cambria Math" w:hAnsi="Cambria Math"/>
              </w:rPr>
              <m:t>4</m:t>
            </m:r>
          </m:sub>
        </m:sSub>
      </m:oMath>
      <w:r w:rsidRPr="0061024A">
        <w:rPr>
          <w:szCs w:val="28"/>
        </w:rPr>
        <w:t xml:space="preserve">=0,  </w:t>
      </w:r>
      <m:oMath>
        <m:sSub>
          <m:sSubPr>
            <m:ctrlPr>
              <w:rPr>
                <w:rFonts w:ascii="Cambria Math" w:hAnsi="Cambria Math"/>
              </w:rPr>
            </m:ctrlPr>
          </m:sSubPr>
          <m:e>
            <m:r>
              <w:rPr>
                <w:rFonts w:ascii="Cambria Math" w:hAnsi="Cambria Math"/>
              </w:rPr>
              <m:t>PK</m:t>
            </m:r>
          </m:e>
          <m:sub>
            <m:r>
              <w:rPr>
                <w:rFonts w:ascii="Cambria Math" w:hAnsi="Cambria Math"/>
              </w:rPr>
              <m:t>5</m:t>
            </m:r>
          </m:sub>
        </m:sSub>
      </m:oMath>
      <w:r w:rsidRPr="0061024A">
        <w:rPr>
          <w:szCs w:val="28"/>
        </w:rPr>
        <w:t xml:space="preserve">=0 та </w:t>
      </w:r>
      <m:oMath>
        <m:sSub>
          <m:sSubPr>
            <m:ctrlPr>
              <w:rPr>
                <w:rFonts w:ascii="Cambria Math" w:hAnsi="Cambria Math"/>
              </w:rPr>
            </m:ctrlPr>
          </m:sSubPr>
          <m:e>
            <m:r>
              <w:rPr>
                <w:rFonts w:ascii="Cambria Math" w:hAnsi="Cambria Math"/>
              </w:rPr>
              <m:t>PK</m:t>
            </m:r>
          </m:e>
          <m:sub>
            <m:r>
              <w:rPr>
                <w:rFonts w:ascii="Cambria Math" w:hAnsi="Cambria Math"/>
              </w:rPr>
              <m:t>6</m:t>
            </m:r>
          </m:sub>
        </m:sSub>
      </m:oMath>
      <w:r w:rsidRPr="0061024A">
        <w:rPr>
          <w:szCs w:val="28"/>
        </w:rPr>
        <w:t>=0</w:t>
      </w:r>
      <w:r>
        <w:rPr>
          <w:szCs w:val="28"/>
        </w:rPr>
        <w:t>;</w:t>
      </w:r>
    </w:p>
    <w:p w:rsidR="00BE6DCB" w:rsidRPr="0061024A" w:rsidRDefault="00BE6DCB" w:rsidP="00BE6DCB">
      <w:pPr>
        <w:tabs>
          <w:tab w:val="left" w:pos="142"/>
          <w:tab w:val="left" w:pos="993"/>
        </w:tabs>
        <w:ind w:left="709" w:right="-2" w:firstLine="0"/>
        <w:rPr>
          <w:rFonts w:eastAsia="Calibri"/>
          <w:szCs w:val="28"/>
          <w:lang w:eastAsia="lt-LT"/>
        </w:rPr>
      </w:pPr>
      <w:r w:rsidRPr="0061024A">
        <w:rPr>
          <w:rFonts w:eastAsia="Calibri"/>
          <w:szCs w:val="28"/>
          <w:lang w:eastAsia="lt-LT"/>
        </w:rPr>
        <w:t xml:space="preserve">2) </w:t>
      </w:r>
      <w:r>
        <w:rPr>
          <w:rFonts w:eastAsia="Calibri"/>
          <w:szCs w:val="28"/>
          <w:lang w:eastAsia="lt-LT"/>
        </w:rPr>
        <w:t>с</w:t>
      </w:r>
      <w:r w:rsidRPr="0061024A">
        <w:rPr>
          <w:rFonts w:eastAsia="Calibri"/>
          <w:szCs w:val="28"/>
          <w:lang w:eastAsia="lt-LT"/>
        </w:rPr>
        <w:t>успільна значущість об’єкта критичної інфраструктури</w:t>
      </w:r>
      <w:r>
        <w:rPr>
          <w:rFonts w:eastAsia="Calibri"/>
          <w:szCs w:val="28"/>
          <w:lang w:eastAsia="lt-LT"/>
        </w:rPr>
        <w:t>.</w:t>
      </w:r>
    </w:p>
    <w:p w:rsidR="00BE6DCB" w:rsidRPr="0061024A" w:rsidRDefault="00BE6DCB" w:rsidP="00BE6DCB">
      <w:pPr>
        <w:tabs>
          <w:tab w:val="left" w:pos="142"/>
          <w:tab w:val="left" w:pos="993"/>
        </w:tabs>
        <w:ind w:right="-2"/>
        <w:contextualSpacing/>
        <w:rPr>
          <w:szCs w:val="28"/>
        </w:rPr>
      </w:pPr>
      <w:r w:rsidRPr="0061024A">
        <w:rPr>
          <w:rFonts w:eastAsia="Calibri"/>
          <w:szCs w:val="28"/>
          <w:lang w:eastAsia="lt-LT"/>
        </w:rPr>
        <w:t xml:space="preserve">КНЕДП є великим надавачем в інфраструктурі надання електронних довірчих послуг. У разі припинення його функціонування може бути припинено виконання основних послуг та порушено роботу органів державної влади (у разі реалізації у повному обсязі електронного документообігу, електронного судочинства тощо). Тому </w:t>
      </w:r>
      <m:oMath>
        <m:sSub>
          <m:sSubPr>
            <m:ctrlPr>
              <w:rPr>
                <w:rFonts w:ascii="Cambria Math" w:hAnsi="Cambria Math"/>
              </w:rPr>
            </m:ctrlPr>
          </m:sSubPr>
          <m:e>
            <m:r>
              <w:rPr>
                <w:rFonts w:ascii="Cambria Math" w:hAnsi="Cambria Math"/>
              </w:rPr>
              <m:t>PK</m:t>
            </m:r>
          </m:e>
          <m:sub>
            <m:r>
              <w:rPr>
                <w:rFonts w:ascii="Cambria Math" w:hAnsi="Cambria Math"/>
              </w:rPr>
              <m:t>7</m:t>
            </m:r>
          </m:sub>
        </m:sSub>
      </m:oMath>
      <w:r w:rsidRPr="0061024A">
        <w:rPr>
          <w:szCs w:val="28"/>
        </w:rPr>
        <w:t xml:space="preserve">=4. Також здійснюється значний вплив на довіру населення до державних інституцій, як наслідок – невиконання ними відповідних функцій. Тому </w:t>
      </w:r>
      <m:oMath>
        <m:sSub>
          <m:sSubPr>
            <m:ctrlPr>
              <w:rPr>
                <w:rFonts w:ascii="Cambria Math" w:hAnsi="Cambria Math"/>
              </w:rPr>
            </m:ctrlPr>
          </m:sSubPr>
          <m:e>
            <m:r>
              <w:rPr>
                <w:rFonts w:ascii="Cambria Math" w:hAnsi="Cambria Math"/>
              </w:rPr>
              <m:t>PK</m:t>
            </m:r>
          </m:e>
          <m:sub>
            <m:r>
              <w:rPr>
                <w:rFonts w:ascii="Cambria Math" w:hAnsi="Cambria Math"/>
              </w:rPr>
              <m:t>8</m:t>
            </m:r>
          </m:sub>
        </m:sSub>
      </m:oMath>
      <w:r w:rsidRPr="0061024A">
        <w:rPr>
          <w:szCs w:val="28"/>
        </w:rPr>
        <w:t xml:space="preserve">=4. На цей час шкода іншим державам – партнерам України не може бути </w:t>
      </w:r>
      <w:r>
        <w:rPr>
          <w:szCs w:val="28"/>
        </w:rPr>
        <w:t>завдана</w:t>
      </w:r>
      <w:r w:rsidRPr="0061024A">
        <w:rPr>
          <w:szCs w:val="28"/>
        </w:rPr>
        <w:t xml:space="preserve">, але можуть бути порушення міжнародних угод - </w:t>
      </w:r>
      <m:oMath>
        <m:sSub>
          <m:sSubPr>
            <m:ctrlPr>
              <w:rPr>
                <w:rFonts w:ascii="Cambria Math" w:hAnsi="Cambria Math"/>
              </w:rPr>
            </m:ctrlPr>
          </m:sSubPr>
          <m:e>
            <m:r>
              <w:rPr>
                <w:rFonts w:ascii="Cambria Math" w:hAnsi="Cambria Math"/>
              </w:rPr>
              <m:t>PK</m:t>
            </m:r>
          </m:e>
          <m:sub>
            <m:r>
              <w:rPr>
                <w:rFonts w:ascii="Cambria Math" w:hAnsi="Cambria Math"/>
              </w:rPr>
              <m:t>9</m:t>
            </m:r>
          </m:sub>
        </m:sSub>
      </m:oMath>
      <w:r w:rsidRPr="0061024A">
        <w:rPr>
          <w:szCs w:val="28"/>
        </w:rPr>
        <w:t>=3</w:t>
      </w:r>
      <w:r>
        <w:rPr>
          <w:szCs w:val="28"/>
        </w:rPr>
        <w:t>;</w:t>
      </w:r>
    </w:p>
    <w:p w:rsidR="00BE6DCB" w:rsidRPr="0061024A" w:rsidRDefault="00BE6DCB" w:rsidP="00BE6DCB">
      <w:pPr>
        <w:tabs>
          <w:tab w:val="left" w:pos="142"/>
          <w:tab w:val="left" w:pos="993"/>
        </w:tabs>
        <w:ind w:left="709" w:right="-2" w:firstLine="0"/>
        <w:rPr>
          <w:rFonts w:eastAsia="Calibri"/>
          <w:szCs w:val="28"/>
          <w:lang w:eastAsia="lt-LT"/>
        </w:rPr>
      </w:pPr>
      <w:r w:rsidRPr="0061024A">
        <w:rPr>
          <w:rFonts w:eastAsia="Calibri"/>
          <w:szCs w:val="28"/>
          <w:lang w:eastAsia="lt-LT"/>
        </w:rPr>
        <w:t xml:space="preserve">3) </w:t>
      </w:r>
      <w:r>
        <w:rPr>
          <w:rFonts w:eastAsia="Calibri"/>
          <w:szCs w:val="28"/>
          <w:lang w:eastAsia="lt-LT"/>
        </w:rPr>
        <w:t>е</w:t>
      </w:r>
      <w:r w:rsidRPr="0061024A">
        <w:rPr>
          <w:rFonts w:eastAsia="Calibri"/>
          <w:szCs w:val="28"/>
          <w:lang w:eastAsia="lt-LT"/>
        </w:rPr>
        <w:t>кономічна значущість об’єкта критичної інфраструктури</w:t>
      </w:r>
      <w:r>
        <w:rPr>
          <w:rFonts w:eastAsia="Calibri"/>
          <w:szCs w:val="28"/>
          <w:lang w:eastAsia="lt-LT"/>
        </w:rPr>
        <w:t>.</w:t>
      </w:r>
    </w:p>
    <w:p w:rsidR="00BE6DCB" w:rsidRPr="0061024A" w:rsidRDefault="00BE6DCB" w:rsidP="00BE6DCB">
      <w:pPr>
        <w:tabs>
          <w:tab w:val="left" w:pos="142"/>
          <w:tab w:val="left" w:pos="993"/>
        </w:tabs>
        <w:ind w:right="-2"/>
        <w:contextualSpacing/>
        <w:rPr>
          <w:rFonts w:eastAsia="Calibri"/>
          <w:szCs w:val="28"/>
          <w:lang w:eastAsia="lt-LT"/>
        </w:rPr>
      </w:pPr>
      <w:r w:rsidRPr="0061024A">
        <w:rPr>
          <w:rFonts w:eastAsia="Calibri"/>
          <w:szCs w:val="28"/>
          <w:lang w:eastAsia="lt-LT"/>
        </w:rPr>
        <w:t>Припинення надання послуг КНЕДП призведе до заподіяння збитків об’єкту критичної інфраструктури (тобто державно</w:t>
      </w:r>
      <w:r>
        <w:rPr>
          <w:rFonts w:eastAsia="Calibri"/>
          <w:szCs w:val="28"/>
          <w:lang w:eastAsia="lt-LT"/>
        </w:rPr>
        <w:t>му</w:t>
      </w:r>
      <w:r w:rsidRPr="0061024A">
        <w:rPr>
          <w:rFonts w:eastAsia="Calibri"/>
          <w:szCs w:val="28"/>
          <w:lang w:eastAsia="lt-LT"/>
        </w:rPr>
        <w:t xml:space="preserve"> підприємств</w:t>
      </w:r>
      <w:r>
        <w:rPr>
          <w:rFonts w:eastAsia="Calibri"/>
          <w:szCs w:val="28"/>
          <w:lang w:eastAsia="lt-LT"/>
        </w:rPr>
        <w:t>у</w:t>
      </w:r>
      <w:r w:rsidRPr="0061024A">
        <w:rPr>
          <w:rFonts w:eastAsia="Calibri"/>
          <w:szCs w:val="28"/>
          <w:lang w:eastAsia="lt-LT"/>
        </w:rPr>
        <w:t xml:space="preserve">) на 23% (згідно зі звітністю за останні роки). Збитки державному бюджету на цей час незначні (поширення довірчих послуг недостатнє). Збитки місцевим бюджетам також незначні (також через недостатню поширеність послуг). Тому </w:t>
      </w:r>
      <m:oMath>
        <m:sSub>
          <m:sSubPr>
            <m:ctrlPr>
              <w:rPr>
                <w:rFonts w:ascii="Cambria Math" w:hAnsi="Cambria Math"/>
              </w:rPr>
            </m:ctrlPr>
          </m:sSubPr>
          <m:e>
            <m:r>
              <w:rPr>
                <w:rFonts w:ascii="Cambria Math" w:hAnsi="Cambria Math"/>
              </w:rPr>
              <m:t>PK</m:t>
            </m:r>
          </m:e>
          <m:sub>
            <m:r>
              <w:rPr>
                <w:rFonts w:ascii="Cambria Math" w:hAnsi="Cambria Math"/>
              </w:rPr>
              <m:t>10</m:t>
            </m:r>
          </m:sub>
        </m:sSub>
      </m:oMath>
      <w:r w:rsidRPr="0061024A">
        <w:rPr>
          <w:szCs w:val="28"/>
        </w:rPr>
        <w:t xml:space="preserve">=4, </w:t>
      </w:r>
      <m:oMath>
        <m:sSub>
          <m:sSubPr>
            <m:ctrlPr>
              <w:rPr>
                <w:rFonts w:ascii="Cambria Math" w:hAnsi="Cambria Math"/>
              </w:rPr>
            </m:ctrlPr>
          </m:sSubPr>
          <m:e>
            <m:r>
              <w:rPr>
                <w:rFonts w:ascii="Cambria Math" w:hAnsi="Cambria Math"/>
              </w:rPr>
              <m:t>PK</m:t>
            </m:r>
          </m:e>
          <m:sub>
            <m:r>
              <w:rPr>
                <w:rFonts w:ascii="Cambria Math" w:hAnsi="Cambria Math"/>
              </w:rPr>
              <m:t>11</m:t>
            </m:r>
          </m:sub>
        </m:sSub>
      </m:oMath>
      <w:r w:rsidRPr="0061024A">
        <w:rPr>
          <w:szCs w:val="28"/>
        </w:rPr>
        <w:t xml:space="preserve">=1, </w:t>
      </w:r>
      <m:oMath>
        <m:sSub>
          <m:sSubPr>
            <m:ctrlPr>
              <w:rPr>
                <w:rFonts w:ascii="Cambria Math" w:hAnsi="Cambria Math"/>
              </w:rPr>
            </m:ctrlPr>
          </m:sSubPr>
          <m:e>
            <m:r>
              <w:rPr>
                <w:rFonts w:ascii="Cambria Math" w:hAnsi="Cambria Math"/>
              </w:rPr>
              <m:t>PK</m:t>
            </m:r>
          </m:e>
          <m:sub>
            <m:r>
              <w:rPr>
                <w:rFonts w:ascii="Cambria Math" w:hAnsi="Cambria Math"/>
              </w:rPr>
              <m:t>12</m:t>
            </m:r>
          </m:sub>
        </m:sSub>
      </m:oMath>
      <w:r w:rsidRPr="0061024A">
        <w:rPr>
          <w:szCs w:val="28"/>
        </w:rPr>
        <w:t>=1</w:t>
      </w:r>
      <w:r>
        <w:rPr>
          <w:szCs w:val="28"/>
        </w:rPr>
        <w:t>;</w:t>
      </w:r>
    </w:p>
    <w:p w:rsidR="00BE6DCB" w:rsidRPr="0061024A" w:rsidRDefault="00BE6DCB" w:rsidP="00BE6DCB">
      <w:pPr>
        <w:tabs>
          <w:tab w:val="left" w:pos="142"/>
          <w:tab w:val="left" w:pos="993"/>
        </w:tabs>
        <w:ind w:left="709" w:right="-2" w:firstLine="0"/>
        <w:rPr>
          <w:rFonts w:eastAsia="Calibri"/>
          <w:szCs w:val="28"/>
          <w:lang w:eastAsia="lt-LT"/>
        </w:rPr>
      </w:pPr>
      <w:r w:rsidRPr="0061024A">
        <w:rPr>
          <w:rFonts w:eastAsia="Calibri"/>
          <w:szCs w:val="28"/>
          <w:lang w:eastAsia="lt-LT"/>
        </w:rPr>
        <w:t xml:space="preserve">4) </w:t>
      </w:r>
      <w:r>
        <w:rPr>
          <w:rFonts w:eastAsia="Calibri"/>
          <w:szCs w:val="28"/>
          <w:lang w:eastAsia="lt-LT"/>
        </w:rPr>
        <w:t>в</w:t>
      </w:r>
      <w:r w:rsidRPr="0061024A">
        <w:rPr>
          <w:rFonts w:eastAsia="Calibri"/>
          <w:szCs w:val="28"/>
          <w:lang w:eastAsia="lt-LT"/>
        </w:rPr>
        <w:t>заємозв’язок між об’єктами критичної інфраструктури</w:t>
      </w:r>
      <w:r>
        <w:rPr>
          <w:rFonts w:eastAsia="Calibri"/>
          <w:szCs w:val="28"/>
          <w:lang w:eastAsia="lt-LT"/>
        </w:rPr>
        <w:t>.</w:t>
      </w:r>
    </w:p>
    <w:p w:rsidR="00BE6DCB" w:rsidRPr="0061024A" w:rsidRDefault="00BE6DCB" w:rsidP="00BE6DCB">
      <w:pPr>
        <w:tabs>
          <w:tab w:val="left" w:pos="142"/>
          <w:tab w:val="left" w:pos="993"/>
        </w:tabs>
        <w:ind w:right="-2"/>
        <w:contextualSpacing/>
        <w:rPr>
          <w:szCs w:val="28"/>
        </w:rPr>
      </w:pPr>
      <w:r w:rsidRPr="0061024A">
        <w:rPr>
          <w:rFonts w:eastAsia="Calibri"/>
          <w:szCs w:val="28"/>
          <w:lang w:eastAsia="lt-LT"/>
        </w:rPr>
        <w:t xml:space="preserve">Переривання надання послуг КНЕДП не вплине на роботу інших надавачів електронних довірчих послуг. Водночас переривання надання послуг КНЕДП призведе до порушень надання послуг в інших секторах, де діяльність пов’язана з використанням електронного підпису та довірчих послуг (наприклад, фінансовий сектор). Тому </w:t>
      </w:r>
      <m:oMath>
        <m:sSub>
          <m:sSubPr>
            <m:ctrlPr>
              <w:rPr>
                <w:rFonts w:ascii="Cambria Math" w:hAnsi="Cambria Math"/>
              </w:rPr>
            </m:ctrlPr>
          </m:sSubPr>
          <m:e>
            <m:r>
              <w:rPr>
                <w:rFonts w:ascii="Cambria Math" w:hAnsi="Cambria Math"/>
              </w:rPr>
              <m:t>PK</m:t>
            </m:r>
          </m:e>
          <m:sub>
            <m:r>
              <w:rPr>
                <w:rFonts w:ascii="Cambria Math" w:hAnsi="Cambria Math"/>
              </w:rPr>
              <m:t>13</m:t>
            </m:r>
          </m:sub>
        </m:sSub>
      </m:oMath>
      <w:r w:rsidRPr="0061024A">
        <w:rPr>
          <w:szCs w:val="28"/>
        </w:rPr>
        <w:t xml:space="preserve">=0, </w:t>
      </w:r>
      <m:oMath>
        <m:sSub>
          <m:sSubPr>
            <m:ctrlPr>
              <w:rPr>
                <w:rFonts w:ascii="Cambria Math" w:hAnsi="Cambria Math"/>
              </w:rPr>
            </m:ctrlPr>
          </m:sSubPr>
          <m:e>
            <m:r>
              <w:rPr>
                <w:rFonts w:ascii="Cambria Math" w:hAnsi="Cambria Math"/>
              </w:rPr>
              <m:t>PK</m:t>
            </m:r>
          </m:e>
          <m:sub>
            <m:r>
              <w:rPr>
                <w:rFonts w:ascii="Cambria Math" w:hAnsi="Cambria Math"/>
              </w:rPr>
              <m:t>14</m:t>
            </m:r>
          </m:sub>
        </m:sSub>
      </m:oMath>
      <w:r w:rsidRPr="0061024A">
        <w:rPr>
          <w:szCs w:val="28"/>
        </w:rPr>
        <w:t>=4</w:t>
      </w:r>
      <w:r>
        <w:rPr>
          <w:szCs w:val="28"/>
        </w:rPr>
        <w:t>;</w:t>
      </w:r>
    </w:p>
    <w:p w:rsidR="00BE6DCB" w:rsidRPr="0061024A" w:rsidRDefault="00BE6DCB" w:rsidP="00BE6DCB">
      <w:pPr>
        <w:tabs>
          <w:tab w:val="left" w:pos="142"/>
          <w:tab w:val="left" w:pos="993"/>
        </w:tabs>
        <w:ind w:right="-2"/>
        <w:rPr>
          <w:rFonts w:eastAsia="Calibri"/>
          <w:szCs w:val="28"/>
          <w:lang w:eastAsia="lt-LT"/>
        </w:rPr>
      </w:pPr>
      <w:r w:rsidRPr="0061024A">
        <w:rPr>
          <w:rFonts w:eastAsia="Calibri"/>
          <w:szCs w:val="28"/>
          <w:lang w:eastAsia="lt-LT"/>
        </w:rPr>
        <w:t xml:space="preserve">5) </w:t>
      </w:r>
      <w:r>
        <w:rPr>
          <w:rFonts w:eastAsia="Calibri"/>
          <w:szCs w:val="28"/>
          <w:lang w:eastAsia="lt-LT"/>
        </w:rPr>
        <w:t>з</w:t>
      </w:r>
      <w:r w:rsidRPr="0061024A">
        <w:rPr>
          <w:rFonts w:eastAsia="Calibri"/>
          <w:szCs w:val="28"/>
          <w:lang w:eastAsia="lt-LT"/>
        </w:rPr>
        <w:t>начущість об’єкта критичної інфраструктури для забезпечення національної безпеки та оборонозда</w:t>
      </w:r>
      <w:r>
        <w:rPr>
          <w:rFonts w:eastAsia="Calibri"/>
          <w:szCs w:val="28"/>
          <w:lang w:eastAsia="lt-LT"/>
        </w:rPr>
        <w:t>т</w:t>
      </w:r>
      <w:r w:rsidRPr="0061024A">
        <w:rPr>
          <w:rFonts w:eastAsia="Calibri"/>
          <w:szCs w:val="28"/>
          <w:lang w:eastAsia="lt-LT"/>
        </w:rPr>
        <w:t>ності країни</w:t>
      </w:r>
      <w:r>
        <w:rPr>
          <w:rFonts w:eastAsia="Calibri"/>
          <w:szCs w:val="28"/>
          <w:lang w:eastAsia="lt-LT"/>
        </w:rPr>
        <w:t>.</w:t>
      </w:r>
      <w:r w:rsidRPr="0061024A">
        <w:rPr>
          <w:rFonts w:eastAsia="Calibri"/>
          <w:szCs w:val="28"/>
          <w:lang w:eastAsia="lt-LT"/>
        </w:rPr>
        <w:t xml:space="preserve"> </w:t>
      </w:r>
    </w:p>
    <w:p w:rsidR="00BE6DCB" w:rsidRPr="0061024A" w:rsidRDefault="00BE6DCB" w:rsidP="00BE6DCB">
      <w:pPr>
        <w:tabs>
          <w:tab w:val="left" w:pos="142"/>
          <w:tab w:val="left" w:pos="993"/>
        </w:tabs>
        <w:ind w:right="-2"/>
        <w:contextualSpacing/>
        <w:rPr>
          <w:rFonts w:eastAsia="Calibri"/>
          <w:szCs w:val="28"/>
          <w:lang w:eastAsia="lt-LT"/>
        </w:rPr>
      </w:pPr>
      <w:r w:rsidRPr="0061024A">
        <w:rPr>
          <w:rFonts w:eastAsia="Calibri"/>
          <w:szCs w:val="28"/>
          <w:lang w:eastAsia="lt-LT"/>
        </w:rPr>
        <w:t xml:space="preserve">Припинення роботи КНЕДП не вплине на функціонування пунктів управління (ситуаційних центрів). Тому </w:t>
      </w:r>
      <m:oMath>
        <m:sSub>
          <m:sSubPr>
            <m:ctrlPr>
              <w:rPr>
                <w:rFonts w:ascii="Cambria Math" w:hAnsi="Cambria Math"/>
              </w:rPr>
            </m:ctrlPr>
          </m:sSubPr>
          <m:e>
            <m:r>
              <w:rPr>
                <w:rFonts w:ascii="Cambria Math" w:hAnsi="Cambria Math"/>
              </w:rPr>
              <m:t>PK</m:t>
            </m:r>
          </m:e>
          <m:sub>
            <m:r>
              <w:rPr>
                <w:rFonts w:ascii="Cambria Math" w:hAnsi="Cambria Math"/>
              </w:rPr>
              <m:t>15</m:t>
            </m:r>
          </m:sub>
        </m:sSub>
      </m:oMath>
      <w:r w:rsidRPr="0061024A">
        <w:rPr>
          <w:szCs w:val="28"/>
        </w:rPr>
        <w:t xml:space="preserve">=0. Зниження показників державного оборонного замовлення не очікується. Тому </w:t>
      </w:r>
      <m:oMath>
        <m:sSub>
          <m:sSubPr>
            <m:ctrlPr>
              <w:rPr>
                <w:rFonts w:ascii="Cambria Math" w:hAnsi="Cambria Math"/>
              </w:rPr>
            </m:ctrlPr>
          </m:sSubPr>
          <m:e>
            <m:r>
              <w:rPr>
                <w:rFonts w:ascii="Cambria Math" w:hAnsi="Cambria Math"/>
              </w:rPr>
              <m:t>PK</m:t>
            </m:r>
          </m:e>
          <m:sub>
            <m:r>
              <w:rPr>
                <w:rFonts w:ascii="Cambria Math" w:hAnsi="Cambria Math"/>
              </w:rPr>
              <m:t>16</m:t>
            </m:r>
          </m:sub>
        </m:sSub>
      </m:oMath>
      <w:r w:rsidRPr="0061024A">
        <w:rPr>
          <w:szCs w:val="28"/>
        </w:rPr>
        <w:t xml:space="preserve">=0, </w:t>
      </w:r>
      <m:oMath>
        <m:sSub>
          <m:sSubPr>
            <m:ctrlPr>
              <w:rPr>
                <w:rFonts w:ascii="Cambria Math" w:hAnsi="Cambria Math"/>
              </w:rPr>
            </m:ctrlPr>
          </m:sSubPr>
          <m:e>
            <m:r>
              <w:rPr>
                <w:rFonts w:ascii="Cambria Math" w:hAnsi="Cambria Math"/>
              </w:rPr>
              <m:t>PK</m:t>
            </m:r>
          </m:e>
          <m:sub>
            <m:r>
              <w:rPr>
                <w:rFonts w:ascii="Cambria Math" w:hAnsi="Cambria Math"/>
              </w:rPr>
              <m:t>17</m:t>
            </m:r>
          </m:sub>
        </m:sSub>
      </m:oMath>
      <w:r w:rsidRPr="0061024A">
        <w:rPr>
          <w:szCs w:val="28"/>
        </w:rPr>
        <w:t>=0.</w:t>
      </w:r>
    </w:p>
    <w:p w:rsidR="00BE6DCB" w:rsidRPr="0061024A" w:rsidRDefault="00BE6DCB" w:rsidP="00BE6DCB">
      <w:pPr>
        <w:ind w:right="-2"/>
        <w:rPr>
          <w:szCs w:val="28"/>
        </w:rPr>
        <w:sectPr w:rsidR="00BE6DCB" w:rsidRPr="0061024A">
          <w:pgSz w:w="11906" w:h="16838"/>
          <w:pgMar w:top="1134" w:right="567" w:bottom="1134" w:left="1701" w:header="0" w:footer="0" w:gutter="0"/>
          <w:cols w:space="720"/>
          <w:formProt w:val="0"/>
          <w:docGrid w:linePitch="100"/>
        </w:sectPr>
      </w:pPr>
      <w:r w:rsidRPr="0061024A">
        <w:rPr>
          <w:rFonts w:eastAsia="Calibri"/>
          <w:szCs w:val="28"/>
          <w:lang w:eastAsia="lt-LT"/>
        </w:rPr>
        <w:t xml:space="preserve">Далі наведено приклад заповнення додатка 2 </w:t>
      </w:r>
      <w:r w:rsidRPr="0061024A">
        <w:rPr>
          <w:szCs w:val="28"/>
        </w:rPr>
        <w:t>до Методики віднесення об’єкта критичної інфраструктури до однієї з категорій критичності.</w:t>
      </w:r>
    </w:p>
    <w:p w:rsidR="00BE6DCB" w:rsidRPr="0061024A" w:rsidRDefault="00BE6DCB" w:rsidP="00BE6DCB">
      <w:pPr>
        <w:ind w:right="-2"/>
        <w:jc w:val="center"/>
        <w:rPr>
          <w:rFonts w:eastAsia="Calibri"/>
          <w:szCs w:val="28"/>
        </w:rPr>
      </w:pPr>
      <w:r>
        <w:rPr>
          <w:noProof/>
          <w:lang w:eastAsia="uk-UA"/>
        </w:rPr>
        <w:lastRenderedPageBreak/>
        <mc:AlternateContent>
          <mc:Choice Requires="wps">
            <w:drawing>
              <wp:anchor distT="0" distB="0" distL="0" distR="0" simplePos="0" relativeHeight="251668480" behindDoc="1" locked="0" layoutInCell="1" allowOverlap="1" wp14:anchorId="4639EBB7" wp14:editId="3714AC24">
                <wp:simplePos x="0" y="0"/>
                <wp:positionH relativeFrom="margin">
                  <wp:posOffset>7381240</wp:posOffset>
                </wp:positionH>
                <wp:positionV relativeFrom="paragraph">
                  <wp:posOffset>-465455</wp:posOffset>
                </wp:positionV>
                <wp:extent cx="2088515" cy="351790"/>
                <wp:effectExtent l="0" t="0" r="26035"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351790"/>
                        </a:xfrm>
                        <a:prstGeom prst="rect">
                          <a:avLst/>
                        </a:prstGeom>
                        <a:solidFill>
                          <a:srgbClr val="FFFFFF"/>
                        </a:solidFill>
                        <a:ln w="9360">
                          <a:solidFill>
                            <a:srgbClr val="FFFFFF"/>
                          </a:solidFill>
                          <a:miter/>
                        </a:ln>
                        <a:effectLst/>
                      </wps:spPr>
                      <wps:txbx>
                        <w:txbxContent>
                          <w:p w:rsidR="00BE6DCB" w:rsidRDefault="00BE6DCB" w:rsidP="00BE6DCB">
                            <w:pPr>
                              <w:pStyle w:val="a6"/>
                              <w:ind w:firstLine="0"/>
                            </w:pPr>
                            <w:r>
                              <w:t>Продовження додатка 1</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4639EBB7" id="Прямоугольник 1" o:spid="_x0000_s1028" style="position:absolute;left:0;text-align:left;margin-left:581.2pt;margin-top:-36.65pt;width:164.45pt;height:27.7pt;z-index:-2516480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" strokecolor="white" strokeweight=".26mm">
                <v:path arrowok="t"/>
                <v:textbox>
                  <w:txbxContent>
                    <w:p w:rsidR="00BE6DCB" w:rsidRDefault="00BE6DCB" w:rsidP="00BE6DCB">
                      <w:pPr>
                        <w:pStyle w:val="a6"/>
                        <w:ind w:firstLine="0"/>
                      </w:pPr>
                      <w:r>
                        <w:t>Продовження додатка 1</w:t>
                      </w:r>
                    </w:p>
                  </w:txbxContent>
                </v:textbox>
                <w10:wrap anchorx="margin"/>
              </v:rect>
            </w:pict>
          </mc:Fallback>
        </mc:AlternateContent>
      </w:r>
      <w:r>
        <w:rPr>
          <w:noProof/>
          <w:lang w:eastAsia="uk-UA"/>
        </w:rPr>
        <mc:AlternateContent>
          <mc:Choice Requires="wps">
            <w:drawing>
              <wp:anchor distT="0" distB="0" distL="0" distR="0" simplePos="0" relativeHeight="251661312" behindDoc="1" locked="0" layoutInCell="1" allowOverlap="1" wp14:anchorId="7F84155E" wp14:editId="0934B615">
                <wp:simplePos x="0" y="0"/>
                <wp:positionH relativeFrom="margin">
                  <wp:posOffset>7161530</wp:posOffset>
                </wp:positionH>
                <wp:positionV relativeFrom="paragraph">
                  <wp:posOffset>-746760</wp:posOffset>
                </wp:positionV>
                <wp:extent cx="2088515" cy="351790"/>
                <wp:effectExtent l="0" t="0" r="26035" b="1016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351790"/>
                        </a:xfrm>
                        <a:prstGeom prst="rect">
                          <a:avLst/>
                        </a:prstGeom>
                        <a:solidFill>
                          <a:srgbClr val="FFFFFF"/>
                        </a:solidFill>
                        <a:ln w="9360">
                          <a:solidFill>
                            <a:srgbClr val="FFFFFF"/>
                          </a:solidFill>
                          <a:miter/>
                        </a:ln>
                        <a:effectLst/>
                      </wps:spPr>
                      <wps:txbx>
                        <w:txbxContent>
                          <w:p w:rsidR="00BE6DCB" w:rsidRDefault="00BE6DCB" w:rsidP="00BE6DCB">
                            <w:pPr>
                              <w:pStyle w:val="a6"/>
                              <w:ind w:firstLine="0"/>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F84155E" id="Прямоугольник 10" o:spid="_x0000_s1029" style="position:absolute;left:0;text-align:left;margin-left:563.9pt;margin-top:-58.8pt;width:164.45pt;height:27.7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" strokecolor="white" strokeweight=".26mm">
                <v:path arrowok="t"/>
                <v:textbox>
                  <w:txbxContent>
                    <w:p w:rsidR="00BE6DCB" w:rsidRDefault="00BE6DCB" w:rsidP="00BE6DCB">
                      <w:pPr>
                        <w:pStyle w:val="a6"/>
                        <w:ind w:firstLine="0"/>
                      </w:pPr>
                    </w:p>
                  </w:txbxContent>
                </v:textbox>
                <w10:wrap anchorx="margin"/>
              </v:rect>
            </w:pict>
          </mc:Fallback>
        </mc:AlternateContent>
      </w:r>
      <w:r w:rsidRPr="0061024A">
        <w:rPr>
          <w:rFonts w:eastAsia="Calibri"/>
          <w:szCs w:val="28"/>
        </w:rPr>
        <w:t xml:space="preserve">Приклад заповнення додатка 2 до Методики віднесення об’єкта критичної інфраструктури </w:t>
      </w:r>
    </w:p>
    <w:p w:rsidR="00BE6DCB" w:rsidRPr="0061024A" w:rsidRDefault="00BE6DCB" w:rsidP="00BE6DCB">
      <w:pPr>
        <w:ind w:right="-2"/>
        <w:jc w:val="center"/>
        <w:rPr>
          <w:rFonts w:eastAsia="Calibri"/>
          <w:szCs w:val="28"/>
        </w:rPr>
      </w:pPr>
      <w:r w:rsidRPr="0061024A">
        <w:rPr>
          <w:rFonts w:eastAsia="Calibri"/>
          <w:szCs w:val="28"/>
        </w:rPr>
        <w:t>до однієї з категорій критичності</w:t>
      </w:r>
    </w:p>
    <w:tbl>
      <w:tblPr>
        <w:tblW w:w="15026" w:type="dxa"/>
        <w:tblInd w:w="-176" w:type="dxa"/>
        <w:tblLayout w:type="fixed"/>
        <w:tblLook w:val="04A0" w:firstRow="1" w:lastRow="0" w:firstColumn="1" w:lastColumn="0" w:noHBand="0" w:noVBand="1"/>
      </w:tblPr>
      <w:tblGrid>
        <w:gridCol w:w="568"/>
        <w:gridCol w:w="2524"/>
        <w:gridCol w:w="117"/>
        <w:gridCol w:w="2433"/>
        <w:gridCol w:w="2268"/>
        <w:gridCol w:w="2267"/>
        <w:gridCol w:w="1982"/>
        <w:gridCol w:w="1844"/>
        <w:gridCol w:w="1023"/>
      </w:tblGrid>
      <w:tr w:rsidR="00BE6DCB" w:rsidRPr="0061024A" w:rsidTr="00874798">
        <w:trPr>
          <w:trHeight w:val="23"/>
        </w:trPr>
        <w:tc>
          <w:tcPr>
            <w:tcW w:w="568" w:type="dxa"/>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tabs>
                <w:tab w:val="left" w:pos="203"/>
                <w:tab w:val="left" w:pos="1134"/>
              </w:tabs>
              <w:ind w:firstLine="0"/>
              <w:jc w:val="center"/>
              <w:rPr>
                <w:rFonts w:eastAsia="Calibri"/>
                <w:sz w:val="24"/>
                <w:szCs w:val="24"/>
                <w:lang w:eastAsia="lt-LT"/>
              </w:rPr>
            </w:pPr>
            <w:r w:rsidRPr="0061024A">
              <w:rPr>
                <w:rFonts w:eastAsia="Calibri"/>
                <w:sz w:val="24"/>
                <w:szCs w:val="24"/>
                <w:lang w:eastAsia="lt-LT"/>
              </w:rPr>
              <w:t>№</w:t>
            </w:r>
          </w:p>
          <w:p w:rsidR="00BE6DCB" w:rsidRPr="0061024A" w:rsidRDefault="00BE6DCB" w:rsidP="00874798">
            <w:pPr>
              <w:tabs>
                <w:tab w:val="left" w:pos="203"/>
                <w:tab w:val="left" w:pos="1134"/>
              </w:tabs>
              <w:ind w:firstLine="0"/>
              <w:jc w:val="center"/>
              <w:rPr>
                <w:rFonts w:eastAsia="Calibri"/>
                <w:sz w:val="24"/>
                <w:szCs w:val="24"/>
                <w:lang w:eastAsia="lt-LT"/>
              </w:rPr>
            </w:pPr>
            <w:r w:rsidRPr="0061024A">
              <w:rPr>
                <w:rFonts w:eastAsia="Calibri"/>
                <w:sz w:val="24"/>
                <w:szCs w:val="24"/>
                <w:lang w:eastAsia="lt-LT"/>
              </w:rPr>
              <w:t>з/п</w:t>
            </w:r>
          </w:p>
        </w:tc>
        <w:tc>
          <w:tcPr>
            <w:tcW w:w="2524" w:type="dxa"/>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tabs>
                <w:tab w:val="left" w:pos="203"/>
                <w:tab w:val="left" w:pos="1134"/>
              </w:tabs>
              <w:ind w:firstLine="0"/>
              <w:jc w:val="center"/>
              <w:rPr>
                <w:rFonts w:eastAsia="Calibri"/>
                <w:sz w:val="24"/>
                <w:szCs w:val="24"/>
                <w:lang w:eastAsia="lt-LT"/>
              </w:rPr>
            </w:pPr>
            <w:r w:rsidRPr="0061024A">
              <w:rPr>
                <w:rFonts w:eastAsia="Calibri"/>
                <w:sz w:val="24"/>
                <w:szCs w:val="24"/>
                <w:lang w:eastAsia="lt-LT"/>
              </w:rPr>
              <w:t>Негативний вплив</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Рівень негативного впливу: катастрофічні наслідки</w:t>
            </w:r>
          </w:p>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(4 бали)</w:t>
            </w:r>
          </w:p>
        </w:tc>
        <w:tc>
          <w:tcPr>
            <w:tcW w:w="2268" w:type="dxa"/>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 xml:space="preserve">Рівень негативного впливу: критичні наслідки </w:t>
            </w:r>
          </w:p>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(3 бали)</w:t>
            </w:r>
          </w:p>
        </w:tc>
        <w:tc>
          <w:tcPr>
            <w:tcW w:w="2267" w:type="dxa"/>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Рівень негативного впливу: значні наслідки</w:t>
            </w:r>
          </w:p>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 xml:space="preserve"> (2 бали)</w:t>
            </w:r>
          </w:p>
        </w:tc>
        <w:tc>
          <w:tcPr>
            <w:tcW w:w="1982" w:type="dxa"/>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 xml:space="preserve">Рівень негативного впливу: незначні наслідки </w:t>
            </w:r>
          </w:p>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 xml:space="preserve"> (1 бал) </w:t>
            </w:r>
          </w:p>
        </w:tc>
        <w:tc>
          <w:tcPr>
            <w:tcW w:w="1844"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 xml:space="preserve">Рівень негативного впливу: надто малий </w:t>
            </w:r>
          </w:p>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(0 балів)</w:t>
            </w:r>
          </w:p>
        </w:tc>
        <w:tc>
          <w:tcPr>
            <w:tcW w:w="1023"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Оцінка</w:t>
            </w:r>
          </w:p>
          <w:p w:rsidR="00BE6DCB" w:rsidRPr="00BE6DCB" w:rsidRDefault="009B31E9" w:rsidP="00874798">
            <w:pPr>
              <w:tabs>
                <w:tab w:val="left" w:pos="203"/>
                <w:tab w:val="left" w:pos="1134"/>
              </w:tabs>
              <w:ind w:firstLine="0"/>
              <w:jc w:val="center"/>
              <w:rPr>
                <w:rFonts w:eastAsia="Calibri"/>
                <w:bCs/>
                <w:sz w:val="24"/>
                <w:szCs w:val="24"/>
                <w:lang w:eastAsia="lt-LT"/>
              </w:rPr>
            </w:pPr>
            <m:oMathPara>
              <m:oMath>
                <m:sSub>
                  <m:sSubPr>
                    <m:ctrlPr>
                      <w:rPr>
                        <w:rFonts w:ascii="Cambria Math" w:hAnsi="Cambria Math"/>
                      </w:rPr>
                    </m:ctrlPr>
                  </m:sSubPr>
                  <m:e>
                    <m:r>
                      <w:rPr>
                        <w:rFonts w:ascii="Cambria Math" w:hAnsi="Cambria Math"/>
                      </w:rPr>
                      <m:t>PK</m:t>
                    </m:r>
                  </m:e>
                  <m:sub>
                    <m:r>
                      <w:rPr>
                        <w:rFonts w:ascii="Cambria Math" w:hAnsi="Cambria Math"/>
                      </w:rPr>
                      <m:t>i</m:t>
                    </m:r>
                  </m:sub>
                </m:sSub>
              </m:oMath>
            </m:oMathPara>
          </w:p>
        </w:tc>
      </w:tr>
      <w:tr w:rsidR="00BE6DCB" w:rsidRPr="0061024A" w:rsidTr="00874798">
        <w:trPr>
          <w:trHeight w:val="23"/>
        </w:trPr>
        <w:tc>
          <w:tcPr>
            <w:tcW w:w="15026" w:type="dxa"/>
            <w:gridSpan w:val="9"/>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tabs>
                <w:tab w:val="left" w:pos="203"/>
                <w:tab w:val="left" w:pos="1134"/>
              </w:tabs>
              <w:ind w:firstLine="0"/>
              <w:jc w:val="center"/>
              <w:rPr>
                <w:rFonts w:eastAsia="Calibri"/>
                <w:b/>
                <w:bCs/>
                <w:sz w:val="24"/>
                <w:szCs w:val="24"/>
                <w:lang w:eastAsia="lt-LT"/>
              </w:rPr>
            </w:pPr>
            <w:r w:rsidRPr="0061024A">
              <w:rPr>
                <w:rFonts w:eastAsia="Calibri"/>
                <w:b/>
                <w:sz w:val="24"/>
                <w:szCs w:val="24"/>
                <w:lang w:eastAsia="lt-LT"/>
              </w:rPr>
              <w:t>І. Соціальна значущість об’єкта критичної інфраструктури</w:t>
            </w:r>
          </w:p>
        </w:tc>
      </w:tr>
      <w:tr w:rsidR="00BE6DCB" w:rsidRPr="0061024A" w:rsidTr="00874798">
        <w:trPr>
          <w:trHeight w:val="318"/>
        </w:trPr>
        <w:tc>
          <w:tcPr>
            <w:tcW w:w="568" w:type="dxa"/>
            <w:vMerge w:val="restart"/>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1.</w:t>
            </w:r>
          </w:p>
        </w:tc>
        <w:tc>
          <w:tcPr>
            <w:tcW w:w="2524" w:type="dxa"/>
            <w:vMerge w:val="restart"/>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widowControl w:val="0"/>
              <w:tabs>
                <w:tab w:val="left" w:pos="203"/>
                <w:tab w:val="left" w:pos="1134"/>
              </w:tabs>
              <w:ind w:firstLine="0"/>
              <w:jc w:val="left"/>
              <w:rPr>
                <w:rFonts w:eastAsia="Calibri"/>
                <w:sz w:val="24"/>
                <w:szCs w:val="24"/>
                <w:lang w:eastAsia="lt-LT"/>
              </w:rPr>
            </w:pPr>
            <w:r w:rsidRPr="0061024A">
              <w:rPr>
                <w:rFonts w:eastAsia="Calibri"/>
                <w:sz w:val="24"/>
                <w:szCs w:val="24"/>
                <w:lang w:eastAsia="lt-LT"/>
              </w:rPr>
              <w:t>Заподіяння шкоди життю та здоров’ю людей</w:t>
            </w:r>
          </w:p>
        </w:tc>
        <w:tc>
          <w:tcPr>
            <w:tcW w:w="11934" w:type="dxa"/>
            <w:gridSpan w:val="7"/>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rFonts w:eastAsia="Calibri"/>
                <w:sz w:val="24"/>
                <w:szCs w:val="24"/>
                <w:lang w:eastAsia="lt-LT"/>
              </w:rPr>
              <w:t>Кількість населення, що може постраждати</w:t>
            </w:r>
          </w:p>
        </w:tc>
      </w:tr>
      <w:tr w:rsidR="00BE6DCB" w:rsidRPr="0061024A" w:rsidTr="00874798">
        <w:trPr>
          <w:trHeight w:val="558"/>
        </w:trPr>
        <w:tc>
          <w:tcPr>
            <w:tcW w:w="568"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bCs/>
                <w:sz w:val="24"/>
                <w:szCs w:val="24"/>
                <w:lang w:eastAsia="lt-LT"/>
              </w:rPr>
            </w:pPr>
          </w:p>
        </w:tc>
        <w:tc>
          <w:tcPr>
            <w:tcW w:w="2524"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2550" w:type="dxa"/>
            <w:gridSpan w:val="2"/>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 xml:space="preserve">небезпека для життя або здоров’я більш як 75 000 людей </w:t>
            </w:r>
          </w:p>
        </w:tc>
        <w:tc>
          <w:tcPr>
            <w:tcW w:w="22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11127"/>
              </w:tabs>
              <w:ind w:firstLine="0"/>
              <w:jc w:val="left"/>
              <w:rPr>
                <w:rFonts w:eastAsia="Calibri"/>
                <w:sz w:val="24"/>
                <w:szCs w:val="24"/>
                <w:lang w:eastAsia="lt-LT"/>
              </w:rPr>
            </w:pPr>
            <w:r w:rsidRPr="0061024A">
              <w:rPr>
                <w:rFonts w:eastAsia="Calibri"/>
                <w:sz w:val="24"/>
                <w:szCs w:val="24"/>
                <w:lang w:eastAsia="lt-LT"/>
              </w:rPr>
              <w:t xml:space="preserve">небезпека для життя та здоров’я більш як </w:t>
            </w:r>
          </w:p>
          <w:p w:rsidR="00BE6DCB" w:rsidRPr="0061024A" w:rsidRDefault="00BE6DCB" w:rsidP="00874798">
            <w:pPr>
              <w:keepNext/>
              <w:keepLines/>
              <w:tabs>
                <w:tab w:val="left" w:pos="-11127"/>
              </w:tabs>
              <w:ind w:firstLine="0"/>
              <w:jc w:val="left"/>
              <w:rPr>
                <w:rFonts w:eastAsia="Calibri"/>
                <w:sz w:val="24"/>
                <w:szCs w:val="24"/>
                <w:lang w:eastAsia="lt-LT"/>
              </w:rPr>
            </w:pPr>
            <w:r w:rsidRPr="0061024A">
              <w:rPr>
                <w:rFonts w:eastAsia="Calibri"/>
                <w:sz w:val="24"/>
                <w:szCs w:val="24"/>
                <w:lang w:eastAsia="lt-LT"/>
              </w:rPr>
              <w:t xml:space="preserve">5000 людей </w:t>
            </w:r>
          </w:p>
        </w:tc>
        <w:tc>
          <w:tcPr>
            <w:tcW w:w="2267"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небезпека для життя або здоров’я більш як 50 людей</w:t>
            </w:r>
          </w:p>
        </w:tc>
        <w:tc>
          <w:tcPr>
            <w:tcW w:w="1982" w:type="dxa"/>
            <w:tcBorders>
              <w:top w:val="single" w:sz="4" w:space="0" w:color="000000"/>
              <w:left w:val="single" w:sz="4" w:space="0" w:color="000000"/>
              <w:bottom w:val="single" w:sz="4" w:space="0" w:color="000000"/>
              <w:right w:val="single" w:sz="18" w:space="0" w:color="000000"/>
            </w:tcBorders>
            <w:shd w:val="clear" w:color="auto" w:fill="FFFFFF"/>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небезпека для життя або здоров’я менш як 50 людей</w:t>
            </w:r>
          </w:p>
        </w:tc>
        <w:tc>
          <w:tcPr>
            <w:tcW w:w="1844" w:type="dxa"/>
            <w:tcBorders>
              <w:top w:val="single" w:sz="18" w:space="0" w:color="000000"/>
              <w:left w:val="single" w:sz="18" w:space="0" w:color="000000"/>
              <w:bottom w:val="single" w:sz="18" w:space="0" w:color="000000"/>
              <w:right w:val="single" w:sz="18" w:space="0" w:color="000000"/>
            </w:tcBorders>
            <w:shd w:val="clear" w:color="auto" w:fill="D9D9D9"/>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rFonts w:eastAsia="Calibri"/>
                <w:sz w:val="24"/>
                <w:szCs w:val="24"/>
                <w:lang w:eastAsia="lt-LT"/>
              </w:rPr>
              <w:t>не критично</w:t>
            </w:r>
          </w:p>
        </w:tc>
        <w:tc>
          <w:tcPr>
            <w:tcW w:w="1023" w:type="dxa"/>
            <w:tcBorders>
              <w:top w:val="single" w:sz="4" w:space="0" w:color="000000"/>
              <w:left w:val="single" w:sz="18" w:space="0" w:color="000000"/>
              <w:bottom w:val="single" w:sz="4" w:space="0" w:color="000000"/>
              <w:right w:val="single" w:sz="4" w:space="0" w:color="000000"/>
            </w:tcBorders>
          </w:tcPr>
          <w:p w:rsidR="00BE6DCB" w:rsidRPr="0061024A" w:rsidRDefault="009B31E9" w:rsidP="00874798">
            <w:pPr>
              <w:keepNext/>
              <w:keepLines/>
              <w:tabs>
                <w:tab w:val="left" w:pos="203"/>
                <w:tab w:val="left" w:pos="1134"/>
              </w:tabs>
              <w:ind w:firstLine="0"/>
              <w:jc w:val="left"/>
              <w:rPr>
                <w:rFonts w:eastAsia="Calibri"/>
                <w:sz w:val="24"/>
                <w:szCs w:val="24"/>
                <w:lang w:eastAsia="lt-LT"/>
              </w:rPr>
            </w:pPr>
            <m:oMath>
              <m:sSub>
                <m:sSubPr>
                  <m:ctrlPr>
                    <w:rPr>
                      <w:rFonts w:ascii="Cambria Math" w:hAnsi="Cambria Math"/>
                    </w:rPr>
                  </m:ctrlPr>
                </m:sSubPr>
                <m:e>
                  <m:r>
                    <w:rPr>
                      <w:rFonts w:ascii="Cambria Math" w:hAnsi="Cambria Math"/>
                    </w:rPr>
                    <m:t>PK</m:t>
                  </m:r>
                </m:e>
                <m:sub>
                  <m:r>
                    <w:rPr>
                      <w:rFonts w:ascii="Cambria Math" w:hAnsi="Cambria Math"/>
                    </w:rPr>
                    <m:t>1</m:t>
                  </m:r>
                </m:sub>
              </m:sSub>
            </m:oMath>
            <w:r w:rsidR="00BE6DCB" w:rsidRPr="0061024A">
              <w:rPr>
                <w:sz w:val="24"/>
                <w:szCs w:val="24"/>
              </w:rPr>
              <w:t>=0</w:t>
            </w:r>
          </w:p>
        </w:tc>
      </w:tr>
      <w:tr w:rsidR="00BE6DCB" w:rsidRPr="0061024A" w:rsidTr="00874798">
        <w:trPr>
          <w:trHeight w:val="654"/>
        </w:trPr>
        <w:tc>
          <w:tcPr>
            <w:tcW w:w="568"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bCs/>
                <w:sz w:val="24"/>
                <w:szCs w:val="24"/>
                <w:lang w:eastAsia="lt-LT"/>
              </w:rPr>
            </w:pPr>
          </w:p>
        </w:tc>
        <w:tc>
          <w:tcPr>
            <w:tcW w:w="2524"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11934" w:type="dxa"/>
            <w:gridSpan w:val="7"/>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rFonts w:eastAsia="Calibri"/>
                <w:sz w:val="24"/>
                <w:szCs w:val="24"/>
                <w:lang w:eastAsia="lt-LT"/>
              </w:rPr>
              <w:t>Географічний масштаб</w:t>
            </w:r>
          </w:p>
        </w:tc>
      </w:tr>
      <w:tr w:rsidR="00BE6DCB" w:rsidRPr="0061024A" w:rsidTr="00874798">
        <w:trPr>
          <w:trHeight w:val="869"/>
        </w:trPr>
        <w:tc>
          <w:tcPr>
            <w:tcW w:w="568"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bCs/>
                <w:sz w:val="24"/>
                <w:szCs w:val="24"/>
                <w:lang w:eastAsia="lt-LT"/>
              </w:rPr>
            </w:pPr>
          </w:p>
        </w:tc>
        <w:tc>
          <w:tcPr>
            <w:tcW w:w="2524"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2550" w:type="dxa"/>
            <w:gridSpan w:val="2"/>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небезпека для життя та здоров’я мешканців на території однієї АБО більш як однієї області, АБО на території трьох та більше  міст обласного значення</w:t>
            </w:r>
          </w:p>
        </w:tc>
        <w:tc>
          <w:tcPr>
            <w:tcW w:w="22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s>
              <w:ind w:firstLine="0"/>
              <w:jc w:val="left"/>
              <w:rPr>
                <w:rFonts w:eastAsia="Calibri"/>
                <w:sz w:val="24"/>
                <w:szCs w:val="24"/>
                <w:lang w:eastAsia="lt-LT"/>
              </w:rPr>
            </w:pPr>
            <w:r w:rsidRPr="0061024A">
              <w:rPr>
                <w:rFonts w:eastAsia="Calibri"/>
                <w:sz w:val="24"/>
                <w:szCs w:val="24"/>
                <w:lang w:eastAsia="lt-LT"/>
              </w:rPr>
              <w:t>небезпека для життя та здоров’я мешканців на території однієї області АБО міського району міста обласного центру, АБО на всій території одного міста обласного значення</w:t>
            </w:r>
          </w:p>
        </w:tc>
        <w:tc>
          <w:tcPr>
            <w:tcW w:w="2267"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небезпека для життя та здоров’я для людей на території об’єкта та для мешканців, що проживають у безпосередній близькості до розміщення об’єкта</w:t>
            </w:r>
          </w:p>
        </w:tc>
        <w:tc>
          <w:tcPr>
            <w:tcW w:w="1982" w:type="dxa"/>
            <w:tcBorders>
              <w:top w:val="single" w:sz="4" w:space="0" w:color="000000"/>
              <w:left w:val="single" w:sz="4" w:space="0" w:color="000000"/>
              <w:bottom w:val="single" w:sz="4" w:space="0" w:color="000000"/>
              <w:right w:val="single" w:sz="18" w:space="0" w:color="000000"/>
            </w:tcBorders>
            <w:shd w:val="clear" w:color="auto" w:fill="FFFFFF"/>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 xml:space="preserve">небезпека для життя та здоров’я людей на території об’єкта </w:t>
            </w:r>
          </w:p>
        </w:tc>
        <w:tc>
          <w:tcPr>
            <w:tcW w:w="1844" w:type="dxa"/>
            <w:tcBorders>
              <w:top w:val="single" w:sz="18" w:space="0" w:color="000000"/>
              <w:left w:val="single" w:sz="18" w:space="0" w:color="000000"/>
              <w:bottom w:val="single" w:sz="18" w:space="0" w:color="000000"/>
              <w:right w:val="single" w:sz="18" w:space="0" w:color="000000"/>
            </w:tcBorders>
            <w:shd w:val="clear" w:color="auto" w:fill="D9D9D9"/>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rFonts w:eastAsia="Calibri"/>
                <w:sz w:val="24"/>
                <w:szCs w:val="24"/>
                <w:lang w:eastAsia="lt-LT"/>
              </w:rPr>
              <w:t>не критично</w:t>
            </w:r>
          </w:p>
        </w:tc>
        <w:tc>
          <w:tcPr>
            <w:tcW w:w="1023" w:type="dxa"/>
            <w:tcBorders>
              <w:top w:val="single" w:sz="4" w:space="0" w:color="000000"/>
              <w:left w:val="single" w:sz="18" w:space="0" w:color="000000"/>
              <w:bottom w:val="single" w:sz="4" w:space="0" w:color="000000"/>
              <w:right w:val="single" w:sz="4" w:space="0" w:color="000000"/>
            </w:tcBorders>
          </w:tcPr>
          <w:p w:rsidR="00BE6DCB" w:rsidRPr="0061024A" w:rsidRDefault="009B31E9" w:rsidP="00874798">
            <w:pPr>
              <w:keepNext/>
              <w:keepLines/>
              <w:tabs>
                <w:tab w:val="left" w:pos="203"/>
                <w:tab w:val="left" w:pos="1134"/>
              </w:tabs>
              <w:ind w:firstLine="0"/>
              <w:jc w:val="left"/>
              <w:rPr>
                <w:rFonts w:eastAsia="Calibri"/>
                <w:sz w:val="24"/>
                <w:szCs w:val="24"/>
                <w:lang w:eastAsia="lt-LT"/>
              </w:rPr>
            </w:pPr>
            <m:oMath>
              <m:sSub>
                <m:sSubPr>
                  <m:ctrlPr>
                    <w:rPr>
                      <w:rFonts w:ascii="Cambria Math" w:hAnsi="Cambria Math"/>
                    </w:rPr>
                  </m:ctrlPr>
                </m:sSubPr>
                <m:e>
                  <m:r>
                    <w:rPr>
                      <w:rFonts w:ascii="Cambria Math" w:hAnsi="Cambria Math"/>
                    </w:rPr>
                    <m:t>PK</m:t>
                  </m:r>
                </m:e>
                <m:sub>
                  <m:r>
                    <w:rPr>
                      <w:rFonts w:ascii="Cambria Math" w:hAnsi="Cambria Math"/>
                    </w:rPr>
                    <m:t>2</m:t>
                  </m:r>
                </m:sub>
              </m:sSub>
            </m:oMath>
            <w:r w:rsidR="00BE6DCB" w:rsidRPr="0061024A">
              <w:rPr>
                <w:sz w:val="24"/>
                <w:szCs w:val="24"/>
              </w:rPr>
              <w:t>=0</w:t>
            </w:r>
          </w:p>
        </w:tc>
      </w:tr>
      <w:tr w:rsidR="00BE6DCB" w:rsidRPr="0061024A" w:rsidTr="00874798">
        <w:trPr>
          <w:trHeight w:val="318"/>
        </w:trPr>
        <w:tc>
          <w:tcPr>
            <w:tcW w:w="568" w:type="dxa"/>
            <w:vMerge w:val="restart"/>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sz w:val="24"/>
                <w:szCs w:val="24"/>
                <w:lang w:eastAsia="lt-LT"/>
              </w:rPr>
            </w:pPr>
            <w:r w:rsidRPr="0061024A">
              <w:rPr>
                <w:rFonts w:eastAsia="Calibri"/>
                <w:sz w:val="24"/>
                <w:szCs w:val="24"/>
                <w:lang w:eastAsia="lt-LT"/>
              </w:rPr>
              <w:t>2.</w:t>
            </w:r>
          </w:p>
        </w:tc>
        <w:tc>
          <w:tcPr>
            <w:tcW w:w="2524" w:type="dxa"/>
            <w:vMerge w:val="restart"/>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widowControl w:val="0"/>
              <w:tabs>
                <w:tab w:val="left" w:pos="203"/>
                <w:tab w:val="left" w:pos="1134"/>
              </w:tabs>
              <w:ind w:firstLine="0"/>
              <w:jc w:val="left"/>
              <w:rPr>
                <w:rFonts w:eastAsia="Calibri"/>
                <w:sz w:val="24"/>
                <w:szCs w:val="24"/>
                <w:lang w:eastAsia="lt-LT"/>
              </w:rPr>
            </w:pPr>
            <w:r w:rsidRPr="0061024A">
              <w:rPr>
                <w:rFonts w:eastAsia="Calibri"/>
                <w:sz w:val="24"/>
                <w:szCs w:val="24"/>
                <w:lang w:eastAsia="lt-LT"/>
              </w:rPr>
              <w:t xml:space="preserve">Заподіяння шкоди навколишньому природному середовищу </w:t>
            </w:r>
          </w:p>
        </w:tc>
        <w:tc>
          <w:tcPr>
            <w:tcW w:w="11934" w:type="dxa"/>
            <w:gridSpan w:val="7"/>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rFonts w:eastAsia="Calibri"/>
                <w:sz w:val="24"/>
                <w:szCs w:val="24"/>
                <w:lang w:eastAsia="lt-LT"/>
              </w:rPr>
              <w:t>Економічні втрати</w:t>
            </w:r>
          </w:p>
        </w:tc>
      </w:tr>
      <w:tr w:rsidR="00BE6DCB" w:rsidRPr="0061024A" w:rsidTr="00874798">
        <w:trPr>
          <w:trHeight w:val="558"/>
        </w:trPr>
        <w:tc>
          <w:tcPr>
            <w:tcW w:w="568"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2524"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2550" w:type="dxa"/>
            <w:gridSpan w:val="2"/>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нанесені збитки більш як на 30 млн грн</w:t>
            </w:r>
          </w:p>
        </w:tc>
        <w:tc>
          <w:tcPr>
            <w:tcW w:w="22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11127"/>
              </w:tabs>
              <w:ind w:firstLine="0"/>
              <w:jc w:val="left"/>
              <w:rPr>
                <w:rFonts w:eastAsia="Calibri"/>
                <w:sz w:val="24"/>
                <w:szCs w:val="24"/>
                <w:lang w:eastAsia="lt-LT"/>
              </w:rPr>
            </w:pPr>
            <w:r w:rsidRPr="0061024A">
              <w:rPr>
                <w:rFonts w:eastAsia="Calibri"/>
                <w:sz w:val="24"/>
                <w:szCs w:val="24"/>
                <w:lang w:eastAsia="lt-LT"/>
              </w:rPr>
              <w:t xml:space="preserve">нанесено збитків більш як на </w:t>
            </w:r>
          </w:p>
          <w:p w:rsidR="00BE6DCB" w:rsidRPr="0061024A" w:rsidRDefault="00BE6DCB" w:rsidP="00874798">
            <w:pPr>
              <w:keepNext/>
              <w:keepLines/>
              <w:tabs>
                <w:tab w:val="left" w:pos="-11127"/>
              </w:tabs>
              <w:ind w:firstLine="0"/>
              <w:jc w:val="left"/>
              <w:rPr>
                <w:rFonts w:eastAsia="Calibri"/>
                <w:sz w:val="24"/>
                <w:szCs w:val="24"/>
                <w:lang w:eastAsia="lt-LT"/>
              </w:rPr>
            </w:pPr>
            <w:r w:rsidRPr="0061024A">
              <w:rPr>
                <w:rFonts w:eastAsia="Calibri"/>
                <w:sz w:val="24"/>
                <w:szCs w:val="24"/>
                <w:lang w:eastAsia="lt-LT"/>
              </w:rPr>
              <w:t>18 млн  грн</w:t>
            </w:r>
          </w:p>
        </w:tc>
        <w:tc>
          <w:tcPr>
            <w:tcW w:w="2267"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 xml:space="preserve">нанесено збитків більш як на </w:t>
            </w:r>
          </w:p>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2 млн  грн</w:t>
            </w:r>
          </w:p>
        </w:tc>
        <w:tc>
          <w:tcPr>
            <w:tcW w:w="1982" w:type="dxa"/>
            <w:tcBorders>
              <w:top w:val="single" w:sz="4" w:space="0" w:color="000000"/>
              <w:left w:val="single" w:sz="4" w:space="0" w:color="000000"/>
              <w:bottom w:val="single" w:sz="4" w:space="0" w:color="000000"/>
              <w:right w:val="single" w:sz="18"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нанесено збитків менше як на</w:t>
            </w:r>
          </w:p>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2 млн грн</w:t>
            </w:r>
          </w:p>
        </w:tc>
        <w:tc>
          <w:tcPr>
            <w:tcW w:w="1844" w:type="dxa"/>
            <w:tcBorders>
              <w:top w:val="single" w:sz="18" w:space="0" w:color="000000"/>
              <w:left w:val="single" w:sz="18" w:space="0" w:color="000000"/>
              <w:bottom w:val="single" w:sz="18" w:space="0" w:color="000000"/>
              <w:right w:val="single" w:sz="18" w:space="0" w:color="000000"/>
            </w:tcBorders>
            <w:shd w:val="clear" w:color="auto" w:fill="D9D9D9"/>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rFonts w:eastAsia="Calibri"/>
                <w:sz w:val="24"/>
                <w:szCs w:val="24"/>
                <w:lang w:eastAsia="lt-LT"/>
              </w:rPr>
              <w:t>не критично</w:t>
            </w:r>
          </w:p>
        </w:tc>
        <w:tc>
          <w:tcPr>
            <w:tcW w:w="1023" w:type="dxa"/>
            <w:tcBorders>
              <w:top w:val="single" w:sz="4" w:space="0" w:color="000000"/>
              <w:left w:val="single" w:sz="18" w:space="0" w:color="000000"/>
              <w:bottom w:val="single" w:sz="4" w:space="0" w:color="000000"/>
              <w:right w:val="single" w:sz="4" w:space="0" w:color="000000"/>
            </w:tcBorders>
          </w:tcPr>
          <w:p w:rsidR="00BE6DCB" w:rsidRPr="0061024A" w:rsidRDefault="009B31E9" w:rsidP="00874798">
            <w:pPr>
              <w:keepNext/>
              <w:keepLines/>
              <w:tabs>
                <w:tab w:val="left" w:pos="203"/>
                <w:tab w:val="left" w:pos="1134"/>
              </w:tabs>
              <w:ind w:firstLine="0"/>
              <w:jc w:val="left"/>
              <w:rPr>
                <w:rFonts w:eastAsia="Calibri"/>
                <w:sz w:val="24"/>
                <w:szCs w:val="24"/>
                <w:lang w:eastAsia="lt-LT"/>
              </w:rPr>
            </w:pPr>
            <m:oMath>
              <m:sSub>
                <m:sSubPr>
                  <m:ctrlPr>
                    <w:rPr>
                      <w:rFonts w:ascii="Cambria Math" w:hAnsi="Cambria Math"/>
                    </w:rPr>
                  </m:ctrlPr>
                </m:sSubPr>
                <m:e>
                  <m:r>
                    <w:rPr>
                      <w:rFonts w:ascii="Cambria Math" w:hAnsi="Cambria Math"/>
                    </w:rPr>
                    <m:t>PK</m:t>
                  </m:r>
                </m:e>
                <m:sub>
                  <m:r>
                    <w:rPr>
                      <w:rFonts w:ascii="Cambria Math" w:hAnsi="Cambria Math"/>
                    </w:rPr>
                    <m:t>3</m:t>
                  </m:r>
                </m:sub>
              </m:sSub>
            </m:oMath>
            <w:r w:rsidR="00BE6DCB" w:rsidRPr="0061024A">
              <w:rPr>
                <w:sz w:val="24"/>
                <w:szCs w:val="24"/>
              </w:rPr>
              <w:t>=0</w:t>
            </w:r>
          </w:p>
        </w:tc>
      </w:tr>
      <w:tr w:rsidR="00BE6DCB" w:rsidRPr="0061024A" w:rsidTr="00874798">
        <w:trPr>
          <w:trHeight w:val="222"/>
        </w:trPr>
        <w:tc>
          <w:tcPr>
            <w:tcW w:w="568"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2524"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11934" w:type="dxa"/>
            <w:gridSpan w:val="7"/>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rFonts w:eastAsia="Calibri"/>
                <w:sz w:val="24"/>
                <w:szCs w:val="24"/>
                <w:lang w:eastAsia="lt-LT"/>
              </w:rPr>
              <w:t>Географічний масштаб</w:t>
            </w:r>
          </w:p>
        </w:tc>
      </w:tr>
      <w:tr w:rsidR="00BE6DCB" w:rsidRPr="0061024A" w:rsidTr="00874798">
        <w:trPr>
          <w:trHeight w:val="869"/>
        </w:trPr>
        <w:tc>
          <w:tcPr>
            <w:tcW w:w="568"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2524"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2550" w:type="dxa"/>
            <w:gridSpan w:val="2"/>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 xml:space="preserve">шкідливий вплив розповсюджується на територію більш як однієї області АБО на території не менш як трьох міст обласного значення </w:t>
            </w:r>
          </w:p>
        </w:tc>
        <w:tc>
          <w:tcPr>
            <w:tcW w:w="22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s>
              <w:ind w:firstLine="0"/>
              <w:jc w:val="left"/>
              <w:rPr>
                <w:rFonts w:eastAsia="Calibri"/>
                <w:sz w:val="24"/>
                <w:szCs w:val="24"/>
                <w:lang w:eastAsia="lt-LT"/>
              </w:rPr>
            </w:pPr>
            <w:r w:rsidRPr="0061024A">
              <w:rPr>
                <w:rFonts w:eastAsia="Calibri"/>
                <w:sz w:val="24"/>
                <w:szCs w:val="24"/>
                <w:lang w:eastAsia="lt-LT"/>
              </w:rPr>
              <w:t>шкідливий вплив розповсюджується на територію однієї області АБО на територію більш як одного міста обласного значення</w:t>
            </w:r>
          </w:p>
        </w:tc>
        <w:tc>
          <w:tcPr>
            <w:tcW w:w="2267"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 xml:space="preserve">шкідливий вплив розповсюджується на територію одного міста обласного значення </w:t>
            </w:r>
          </w:p>
        </w:tc>
        <w:tc>
          <w:tcPr>
            <w:tcW w:w="1982" w:type="dxa"/>
            <w:tcBorders>
              <w:top w:val="single" w:sz="4" w:space="0" w:color="000000"/>
              <w:left w:val="single" w:sz="4" w:space="0" w:color="000000"/>
              <w:bottom w:val="single" w:sz="4" w:space="0" w:color="000000"/>
              <w:right w:val="single" w:sz="18"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Pr>
                <w:noProof/>
                <w:lang w:eastAsia="uk-UA"/>
              </w:rPr>
              <mc:AlternateContent>
                <mc:Choice Requires="wps">
                  <w:drawing>
                    <wp:anchor distT="0" distB="0" distL="0" distR="0" simplePos="0" relativeHeight="251670528" behindDoc="1" locked="0" layoutInCell="1" allowOverlap="1" wp14:anchorId="0174CB09" wp14:editId="789DBF3B">
                      <wp:simplePos x="0" y="0"/>
                      <wp:positionH relativeFrom="margin">
                        <wp:posOffset>1071245</wp:posOffset>
                      </wp:positionH>
                      <wp:positionV relativeFrom="paragraph">
                        <wp:posOffset>-728345</wp:posOffset>
                      </wp:positionV>
                      <wp:extent cx="2088515" cy="351790"/>
                      <wp:effectExtent l="0" t="0" r="26035" b="1016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351790"/>
                              </a:xfrm>
                              <a:prstGeom prst="rect">
                                <a:avLst/>
                              </a:prstGeom>
                              <a:solidFill>
                                <a:srgbClr val="FFFFFF"/>
                              </a:solidFill>
                              <a:ln w="9360">
                                <a:solidFill>
                                  <a:srgbClr val="FFFFFF"/>
                                </a:solidFill>
                                <a:miter/>
                              </a:ln>
                              <a:effectLst/>
                            </wps:spPr>
                            <wps:txbx>
                              <w:txbxContent>
                                <w:p w:rsidR="00BE6DCB" w:rsidRDefault="00BE6DCB" w:rsidP="00BE6DCB">
                                  <w:pPr>
                                    <w:pStyle w:val="a6"/>
                                    <w:ind w:firstLine="0"/>
                                  </w:pPr>
                                  <w:r>
                                    <w:t>Продовження додатка 1</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0174CB09" id="Прямоугольник 4" o:spid="_x0000_s1030" style="position:absolute;margin-left:84.35pt;margin-top:-57.35pt;width:164.45pt;height:27.7pt;z-index:-2516459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" strokecolor="white" strokeweight=".26mm">
                      <v:path arrowok="t"/>
                      <v:textbox>
                        <w:txbxContent>
                          <w:p w:rsidR="00BE6DCB" w:rsidRDefault="00BE6DCB" w:rsidP="00BE6DCB">
                            <w:pPr>
                              <w:pStyle w:val="a6"/>
                              <w:ind w:firstLine="0"/>
                            </w:pPr>
                            <w:r>
                              <w:t>Продовження додатка 1</w:t>
                            </w:r>
                          </w:p>
                        </w:txbxContent>
                      </v:textbox>
                      <w10:wrap anchorx="margin"/>
                    </v:rect>
                  </w:pict>
                </mc:Fallback>
              </mc:AlternateContent>
            </w:r>
            <w:r w:rsidRPr="0061024A">
              <w:rPr>
                <w:rFonts w:eastAsia="Calibri"/>
                <w:sz w:val="24"/>
                <w:szCs w:val="24"/>
                <w:lang w:eastAsia="lt-LT"/>
              </w:rPr>
              <w:t>шкідливий вплив розповсюджу-</w:t>
            </w:r>
            <w:proofErr w:type="spellStart"/>
            <w:r w:rsidRPr="0061024A">
              <w:rPr>
                <w:rFonts w:eastAsia="Calibri"/>
                <w:sz w:val="24"/>
                <w:szCs w:val="24"/>
                <w:lang w:eastAsia="lt-LT"/>
              </w:rPr>
              <w:t>ється</w:t>
            </w:r>
            <w:proofErr w:type="spellEnd"/>
            <w:r w:rsidRPr="0061024A">
              <w:rPr>
                <w:rFonts w:eastAsia="Calibri"/>
                <w:sz w:val="24"/>
                <w:szCs w:val="24"/>
                <w:lang w:eastAsia="lt-LT"/>
              </w:rPr>
              <w:t xml:space="preserve"> на територію об’єкта інфраструктури</w:t>
            </w:r>
          </w:p>
        </w:tc>
        <w:tc>
          <w:tcPr>
            <w:tcW w:w="1844" w:type="dxa"/>
            <w:tcBorders>
              <w:top w:val="single" w:sz="18" w:space="0" w:color="000000"/>
              <w:left w:val="single" w:sz="18" w:space="0" w:color="000000"/>
              <w:bottom w:val="single" w:sz="18" w:space="0" w:color="000000"/>
              <w:right w:val="single" w:sz="18" w:space="0" w:color="000000"/>
            </w:tcBorders>
            <w:shd w:val="clear" w:color="auto" w:fill="D9D9D9"/>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rFonts w:eastAsia="Calibri"/>
                <w:sz w:val="24"/>
                <w:szCs w:val="24"/>
                <w:lang w:eastAsia="lt-LT"/>
              </w:rPr>
              <w:t>не критично</w:t>
            </w:r>
          </w:p>
        </w:tc>
        <w:tc>
          <w:tcPr>
            <w:tcW w:w="1023" w:type="dxa"/>
            <w:tcBorders>
              <w:top w:val="single" w:sz="4" w:space="0" w:color="000000"/>
              <w:left w:val="single" w:sz="18" w:space="0" w:color="000000"/>
              <w:bottom w:val="single" w:sz="4" w:space="0" w:color="000000"/>
              <w:right w:val="single" w:sz="4" w:space="0" w:color="000000"/>
            </w:tcBorders>
          </w:tcPr>
          <w:p w:rsidR="00BE6DCB" w:rsidRPr="0061024A" w:rsidRDefault="009B31E9" w:rsidP="00874798">
            <w:pPr>
              <w:keepNext/>
              <w:keepLines/>
              <w:tabs>
                <w:tab w:val="left" w:pos="203"/>
                <w:tab w:val="left" w:pos="1134"/>
              </w:tabs>
              <w:ind w:firstLine="0"/>
              <w:jc w:val="left"/>
              <w:rPr>
                <w:rFonts w:eastAsia="Calibri"/>
                <w:sz w:val="24"/>
                <w:szCs w:val="24"/>
                <w:lang w:eastAsia="lt-LT"/>
              </w:rPr>
            </w:pPr>
            <m:oMath>
              <m:sSub>
                <m:sSubPr>
                  <m:ctrlPr>
                    <w:rPr>
                      <w:rFonts w:ascii="Cambria Math" w:hAnsi="Cambria Math"/>
                    </w:rPr>
                  </m:ctrlPr>
                </m:sSubPr>
                <m:e>
                  <m:r>
                    <w:rPr>
                      <w:rFonts w:ascii="Cambria Math" w:hAnsi="Cambria Math"/>
                    </w:rPr>
                    <m:t>PK</m:t>
                  </m:r>
                </m:e>
                <m:sub>
                  <m:r>
                    <w:rPr>
                      <w:rFonts w:ascii="Cambria Math" w:hAnsi="Cambria Math"/>
                    </w:rPr>
                    <m:t>4</m:t>
                  </m:r>
                </m:sub>
              </m:sSub>
            </m:oMath>
            <w:r w:rsidR="00BE6DCB" w:rsidRPr="0061024A">
              <w:rPr>
                <w:sz w:val="24"/>
                <w:szCs w:val="24"/>
              </w:rPr>
              <w:t>=0</w:t>
            </w:r>
          </w:p>
        </w:tc>
      </w:tr>
      <w:tr w:rsidR="00BE6DCB" w:rsidRPr="0061024A" w:rsidTr="00874798">
        <w:trPr>
          <w:trHeight w:val="427"/>
        </w:trPr>
        <w:tc>
          <w:tcPr>
            <w:tcW w:w="568"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2524"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11934" w:type="dxa"/>
            <w:gridSpan w:val="7"/>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sz w:val="24"/>
                <w:szCs w:val="24"/>
              </w:rPr>
            </w:pPr>
            <w:r w:rsidRPr="0061024A">
              <w:rPr>
                <w:sz w:val="24"/>
                <w:szCs w:val="24"/>
              </w:rPr>
              <w:t>Час</w:t>
            </w:r>
          </w:p>
        </w:tc>
      </w:tr>
      <w:tr w:rsidR="00BE6DCB" w:rsidRPr="0061024A" w:rsidTr="00874798">
        <w:trPr>
          <w:trHeight w:val="869"/>
        </w:trPr>
        <w:tc>
          <w:tcPr>
            <w:tcW w:w="568"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2524"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2550" w:type="dxa"/>
            <w:gridSpan w:val="2"/>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шкідливий вплив на навколишнє природне середовище та безпечні умови життя зберігається протягом більш як одного року</w:t>
            </w:r>
          </w:p>
        </w:tc>
        <w:tc>
          <w:tcPr>
            <w:tcW w:w="22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s>
              <w:ind w:firstLine="0"/>
              <w:jc w:val="left"/>
              <w:rPr>
                <w:rFonts w:eastAsia="Calibri"/>
                <w:sz w:val="24"/>
                <w:szCs w:val="24"/>
                <w:lang w:eastAsia="lt-LT"/>
              </w:rPr>
            </w:pPr>
            <w:r w:rsidRPr="0061024A">
              <w:rPr>
                <w:rFonts w:eastAsia="Calibri"/>
                <w:sz w:val="24"/>
                <w:szCs w:val="24"/>
                <w:lang w:eastAsia="lt-LT"/>
              </w:rPr>
              <w:t>шкідливий вплив на навколишнє природне середовище та безпечні умови життя зберігається протягом від півроку до одного року</w:t>
            </w:r>
          </w:p>
        </w:tc>
        <w:tc>
          <w:tcPr>
            <w:tcW w:w="2267"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 xml:space="preserve">шкідливий вплив на навколишнє природне середовище та безпечні умови життя зберігається протягом від одного місяця до півроку </w:t>
            </w:r>
          </w:p>
        </w:tc>
        <w:tc>
          <w:tcPr>
            <w:tcW w:w="1982" w:type="dxa"/>
            <w:tcBorders>
              <w:top w:val="single" w:sz="4" w:space="0" w:color="000000"/>
              <w:left w:val="single" w:sz="4" w:space="0" w:color="000000"/>
              <w:bottom w:val="single" w:sz="4" w:space="0" w:color="000000"/>
              <w:right w:val="single" w:sz="18"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шкідливий вплив на навколишнє природне середовище та безпечні умови життя зберігається протягом одного місяця</w:t>
            </w:r>
          </w:p>
        </w:tc>
        <w:tc>
          <w:tcPr>
            <w:tcW w:w="1844" w:type="dxa"/>
            <w:tcBorders>
              <w:top w:val="single" w:sz="18" w:space="0" w:color="000000"/>
              <w:left w:val="single" w:sz="18" w:space="0" w:color="000000"/>
              <w:bottom w:val="single" w:sz="18" w:space="0" w:color="000000"/>
              <w:right w:val="single" w:sz="18" w:space="0" w:color="000000"/>
            </w:tcBorders>
            <w:shd w:val="clear" w:color="auto" w:fill="D9D9D9"/>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rFonts w:eastAsia="Calibri"/>
                <w:sz w:val="24"/>
                <w:szCs w:val="24"/>
                <w:lang w:eastAsia="lt-LT"/>
              </w:rPr>
              <w:t>не критично</w:t>
            </w:r>
          </w:p>
        </w:tc>
        <w:tc>
          <w:tcPr>
            <w:tcW w:w="1023" w:type="dxa"/>
            <w:tcBorders>
              <w:top w:val="single" w:sz="4" w:space="0" w:color="000000"/>
              <w:left w:val="single" w:sz="18" w:space="0" w:color="000000"/>
              <w:bottom w:val="single" w:sz="4" w:space="0" w:color="000000"/>
              <w:right w:val="single" w:sz="4" w:space="0" w:color="000000"/>
            </w:tcBorders>
          </w:tcPr>
          <w:p w:rsidR="00BE6DCB" w:rsidRPr="0061024A" w:rsidRDefault="009B31E9" w:rsidP="00874798">
            <w:pPr>
              <w:keepNext/>
              <w:keepLines/>
              <w:tabs>
                <w:tab w:val="left" w:pos="203"/>
                <w:tab w:val="left" w:pos="1134"/>
              </w:tabs>
              <w:ind w:firstLine="0"/>
              <w:jc w:val="left"/>
              <w:rPr>
                <w:sz w:val="24"/>
                <w:szCs w:val="24"/>
              </w:rPr>
            </w:pPr>
            <m:oMath>
              <m:sSub>
                <m:sSubPr>
                  <m:ctrlPr>
                    <w:rPr>
                      <w:rFonts w:ascii="Cambria Math" w:hAnsi="Cambria Math"/>
                    </w:rPr>
                  </m:ctrlPr>
                </m:sSubPr>
                <m:e>
                  <m:r>
                    <w:rPr>
                      <w:rFonts w:ascii="Cambria Math" w:hAnsi="Cambria Math"/>
                    </w:rPr>
                    <m:t>PK</m:t>
                  </m:r>
                </m:e>
                <m:sub>
                  <m:r>
                    <w:rPr>
                      <w:rFonts w:ascii="Cambria Math" w:hAnsi="Cambria Math"/>
                    </w:rPr>
                    <m:t>5</m:t>
                  </m:r>
                </m:sub>
              </m:sSub>
            </m:oMath>
            <w:r w:rsidR="00BE6DCB" w:rsidRPr="0061024A">
              <w:rPr>
                <w:sz w:val="24"/>
                <w:szCs w:val="24"/>
              </w:rPr>
              <w:t>=0</w:t>
            </w:r>
          </w:p>
        </w:tc>
      </w:tr>
      <w:tr w:rsidR="00BE6DCB" w:rsidRPr="0061024A" w:rsidTr="00874798">
        <w:trPr>
          <w:trHeight w:val="307"/>
        </w:trPr>
        <w:tc>
          <w:tcPr>
            <w:tcW w:w="15026" w:type="dxa"/>
            <w:gridSpan w:val="9"/>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tabs>
                <w:tab w:val="left" w:pos="203"/>
                <w:tab w:val="left" w:pos="1134"/>
              </w:tabs>
              <w:ind w:firstLine="0"/>
              <w:jc w:val="center"/>
              <w:rPr>
                <w:rFonts w:eastAsia="Calibri"/>
                <w:b/>
                <w:sz w:val="24"/>
                <w:szCs w:val="24"/>
                <w:lang w:eastAsia="lt-LT"/>
              </w:rPr>
            </w:pPr>
            <w:r>
              <w:rPr>
                <w:noProof/>
                <w:lang w:eastAsia="uk-UA"/>
              </w:rPr>
              <mc:AlternateContent>
                <mc:Choice Requires="wps">
                  <w:drawing>
                    <wp:anchor distT="0" distB="0" distL="0" distR="0" simplePos="0" relativeHeight="251662336" behindDoc="1" locked="0" layoutInCell="1" allowOverlap="1" wp14:anchorId="546E5D62" wp14:editId="290168C5">
                      <wp:simplePos x="0" y="0"/>
                      <wp:positionH relativeFrom="column">
                        <wp:posOffset>7320915</wp:posOffset>
                      </wp:positionH>
                      <wp:positionV relativeFrom="paragraph">
                        <wp:posOffset>-535940</wp:posOffset>
                      </wp:positionV>
                      <wp:extent cx="2088515" cy="351790"/>
                      <wp:effectExtent l="0" t="0" r="26035" b="1016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351790"/>
                              </a:xfrm>
                              <a:prstGeom prst="rect">
                                <a:avLst/>
                              </a:prstGeom>
                              <a:solidFill>
                                <a:srgbClr val="FFFFFF"/>
                              </a:solidFill>
                              <a:ln w="9360">
                                <a:solidFill>
                                  <a:srgbClr val="FFFFFF"/>
                                </a:solidFill>
                                <a:miter/>
                              </a:ln>
                              <a:effectLst/>
                            </wps:spPr>
                            <wps:txbx>
                              <w:txbxContent>
                                <w:p w:rsidR="00BE6DCB" w:rsidRDefault="00BE6DCB" w:rsidP="00BE6DCB">
                                  <w:pPr>
                                    <w:pStyle w:val="a6"/>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46E5D62" id="Прямоугольник 16" o:spid="_x0000_s1031" style="position:absolute;left:0;text-align:left;margin-left:576.45pt;margin-top:-42.2pt;width:164.45pt;height:27.7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" strokecolor="white" strokeweight=".26mm">
                      <v:path arrowok="t"/>
                      <v:textbox>
                        <w:txbxContent>
                          <w:p w:rsidR="00BE6DCB" w:rsidRDefault="00BE6DCB" w:rsidP="00BE6DCB">
                            <w:pPr>
                              <w:pStyle w:val="a6"/>
                            </w:pPr>
                          </w:p>
                        </w:txbxContent>
                      </v:textbox>
                    </v:rect>
                  </w:pict>
                </mc:Fallback>
              </mc:AlternateContent>
            </w:r>
            <w:r w:rsidRPr="0061024A">
              <w:rPr>
                <w:rFonts w:eastAsia="Calibri"/>
                <w:b/>
                <w:sz w:val="24"/>
                <w:szCs w:val="24"/>
                <w:lang w:eastAsia="lt-LT"/>
              </w:rPr>
              <w:t>ІІ. Суспільна значущість об’єкта критичної інфраструктури</w:t>
            </w:r>
          </w:p>
        </w:tc>
      </w:tr>
      <w:tr w:rsidR="00BE6DCB" w:rsidRPr="0061024A" w:rsidTr="00874798">
        <w:trPr>
          <w:trHeight w:val="1090"/>
        </w:trPr>
        <w:tc>
          <w:tcPr>
            <w:tcW w:w="5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3</w:t>
            </w:r>
          </w:p>
        </w:tc>
        <w:tc>
          <w:tcPr>
            <w:tcW w:w="2524" w:type="dxa"/>
            <w:tcBorders>
              <w:top w:val="single" w:sz="4" w:space="0" w:color="000000"/>
              <w:left w:val="single" w:sz="4" w:space="0" w:color="000000"/>
              <w:bottom w:val="single" w:sz="4" w:space="0" w:color="000000"/>
              <w:right w:val="single" w:sz="18" w:space="0" w:color="000000"/>
            </w:tcBorders>
          </w:tcPr>
          <w:p w:rsidR="00BE6DCB" w:rsidRPr="0061024A" w:rsidRDefault="00BE6DCB" w:rsidP="00874798">
            <w:pPr>
              <w:widowControl w:val="0"/>
              <w:tabs>
                <w:tab w:val="left" w:pos="203"/>
                <w:tab w:val="left" w:pos="1134"/>
              </w:tabs>
              <w:ind w:firstLine="0"/>
              <w:jc w:val="left"/>
              <w:rPr>
                <w:rFonts w:eastAsia="Calibri"/>
                <w:sz w:val="24"/>
                <w:szCs w:val="24"/>
                <w:lang w:eastAsia="lt-LT"/>
              </w:rPr>
            </w:pPr>
            <w:r w:rsidRPr="0061024A">
              <w:rPr>
                <w:rFonts w:eastAsia="Calibri"/>
                <w:sz w:val="24"/>
                <w:szCs w:val="24"/>
                <w:lang w:eastAsia="lt-LT"/>
              </w:rPr>
              <w:t xml:space="preserve">Припинення або порушення функціонування державних органів </w:t>
            </w:r>
          </w:p>
        </w:tc>
        <w:tc>
          <w:tcPr>
            <w:tcW w:w="2550" w:type="dxa"/>
            <w:gridSpan w:val="2"/>
            <w:tcBorders>
              <w:top w:val="single" w:sz="18" w:space="0" w:color="000000"/>
              <w:left w:val="single" w:sz="18" w:space="0" w:color="000000"/>
              <w:bottom w:val="single" w:sz="18" w:space="0" w:color="000000"/>
              <w:right w:val="single" w:sz="18" w:space="0" w:color="000000"/>
            </w:tcBorders>
            <w:shd w:val="clear" w:color="auto" w:fill="D9D9D9"/>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 xml:space="preserve">припинення або порушення функціонування Верховної Ради України, Кабінету Міністрів України,  Конституційного Суду України, Верховного Суду, а також Офісу Президента України, Ради національної безпеки та оборони </w:t>
            </w:r>
            <w:r>
              <w:rPr>
                <w:noProof/>
                <w:lang w:eastAsia="uk-UA"/>
              </w:rPr>
              <w:lastRenderedPageBreak/>
              <mc:AlternateContent>
                <mc:Choice Requires="wps">
                  <w:drawing>
                    <wp:anchor distT="0" distB="0" distL="0" distR="0" simplePos="0" relativeHeight="251672576" behindDoc="1" locked="0" layoutInCell="1" allowOverlap="1" wp14:anchorId="5E62ABAF" wp14:editId="0A614A2C">
                      <wp:simplePos x="0" y="0"/>
                      <wp:positionH relativeFrom="margin">
                        <wp:posOffset>5511165</wp:posOffset>
                      </wp:positionH>
                      <wp:positionV relativeFrom="paragraph">
                        <wp:posOffset>-671830</wp:posOffset>
                      </wp:positionV>
                      <wp:extent cx="2088515" cy="351790"/>
                      <wp:effectExtent l="0" t="0" r="26035" b="1016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351790"/>
                              </a:xfrm>
                              <a:prstGeom prst="rect">
                                <a:avLst/>
                              </a:prstGeom>
                              <a:solidFill>
                                <a:srgbClr val="FFFFFF"/>
                              </a:solidFill>
                              <a:ln w="9360">
                                <a:solidFill>
                                  <a:srgbClr val="FFFFFF"/>
                                </a:solidFill>
                                <a:miter/>
                              </a:ln>
                              <a:effectLst/>
                            </wps:spPr>
                            <wps:txbx>
                              <w:txbxContent>
                                <w:p w:rsidR="00BE6DCB" w:rsidRDefault="00BE6DCB" w:rsidP="00BE6DCB">
                                  <w:pPr>
                                    <w:ind w:firstLine="0"/>
                                  </w:pPr>
                                  <w:r>
                                    <w:t>Продовження додатка 1</w:t>
                                  </w: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5E62ABAF" id="Прямоугольник 8" o:spid="_x0000_s1032" style="position:absolute;margin-left:433.95pt;margin-top:-52.9pt;width:164.45pt;height:27.7pt;z-index:-2516439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" strokecolor="white" strokeweight=".26mm">
                      <v:path arrowok="t"/>
                      <v:textbox>
                        <w:txbxContent>
                          <w:p w:rsidR="00BE6DCB" w:rsidRDefault="00BE6DCB" w:rsidP="00BE6DCB">
                            <w:pPr>
                              <w:ind w:firstLine="0"/>
                            </w:pPr>
                            <w:r>
                              <w:t>Продовження додатка 1</w:t>
                            </w:r>
                          </w:p>
                        </w:txbxContent>
                      </v:textbox>
                      <w10:wrap anchorx="margin"/>
                    </v:rect>
                  </w:pict>
                </mc:Fallback>
              </mc:AlternateContent>
            </w:r>
            <w:r w:rsidRPr="0061024A">
              <w:rPr>
                <w:rFonts w:eastAsia="Calibri"/>
                <w:sz w:val="24"/>
                <w:szCs w:val="24"/>
                <w:lang w:eastAsia="lt-LT"/>
              </w:rPr>
              <w:t>України</w:t>
            </w:r>
          </w:p>
        </w:tc>
        <w:tc>
          <w:tcPr>
            <w:tcW w:w="2268" w:type="dxa"/>
            <w:tcBorders>
              <w:top w:val="single" w:sz="4" w:space="0" w:color="000000"/>
              <w:left w:val="single" w:sz="18" w:space="0" w:color="000000"/>
              <w:bottom w:val="single" w:sz="4" w:space="0" w:color="000000"/>
              <w:right w:val="single" w:sz="4" w:space="0" w:color="000000"/>
            </w:tcBorders>
          </w:tcPr>
          <w:p w:rsidR="00BE6DCB" w:rsidRPr="0061024A" w:rsidRDefault="00BE6DCB" w:rsidP="00874798">
            <w:pPr>
              <w:keepNext/>
              <w:keepLines/>
              <w:tabs>
                <w:tab w:val="left" w:pos="203"/>
              </w:tabs>
              <w:ind w:firstLine="0"/>
              <w:jc w:val="left"/>
              <w:rPr>
                <w:rFonts w:eastAsia="Calibri"/>
                <w:sz w:val="24"/>
                <w:szCs w:val="24"/>
                <w:lang w:eastAsia="lt-LT"/>
              </w:rPr>
            </w:pPr>
            <w:r w:rsidRPr="0061024A">
              <w:rPr>
                <w:rFonts w:eastAsia="Calibri"/>
                <w:sz w:val="24"/>
                <w:szCs w:val="24"/>
                <w:lang w:eastAsia="lt-LT"/>
              </w:rPr>
              <w:lastRenderedPageBreak/>
              <w:t xml:space="preserve">припинення або порушення функціонування центральних органів виконавчої влади та </w:t>
            </w:r>
            <w:proofErr w:type="spellStart"/>
            <w:r w:rsidRPr="0061024A">
              <w:rPr>
                <w:rFonts w:eastAsia="Calibri"/>
                <w:sz w:val="24"/>
                <w:szCs w:val="24"/>
                <w:lang w:eastAsia="lt-LT"/>
              </w:rPr>
              <w:t>облдержадмініст</w:t>
            </w:r>
            <w:proofErr w:type="spellEnd"/>
            <w:r w:rsidRPr="0061024A">
              <w:rPr>
                <w:rFonts w:eastAsia="Calibri"/>
                <w:sz w:val="24"/>
                <w:szCs w:val="24"/>
                <w:lang w:eastAsia="lt-LT"/>
              </w:rPr>
              <w:t>-рацій</w:t>
            </w:r>
          </w:p>
        </w:tc>
        <w:tc>
          <w:tcPr>
            <w:tcW w:w="2267"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припинення або порушення роботи районних держадміністрацій, територіальних органів центральних органів виконавчої влади</w:t>
            </w:r>
          </w:p>
        </w:tc>
        <w:tc>
          <w:tcPr>
            <w:tcW w:w="1982"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припинення або порушення роботи органів місцевого самоврядування</w:t>
            </w:r>
          </w:p>
        </w:tc>
        <w:tc>
          <w:tcPr>
            <w:tcW w:w="1844"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rFonts w:eastAsia="Calibri"/>
                <w:sz w:val="24"/>
                <w:szCs w:val="24"/>
                <w:lang w:eastAsia="lt-LT"/>
              </w:rPr>
              <w:t>не критично</w:t>
            </w:r>
          </w:p>
        </w:tc>
        <w:tc>
          <w:tcPr>
            <w:tcW w:w="1023" w:type="dxa"/>
            <w:tcBorders>
              <w:top w:val="single" w:sz="4" w:space="0" w:color="000000"/>
              <w:left w:val="single" w:sz="4" w:space="0" w:color="000000"/>
              <w:bottom w:val="single" w:sz="4" w:space="0" w:color="000000"/>
              <w:right w:val="single" w:sz="4" w:space="0" w:color="000000"/>
            </w:tcBorders>
          </w:tcPr>
          <w:p w:rsidR="00BE6DCB" w:rsidRPr="0061024A" w:rsidRDefault="009B31E9" w:rsidP="00874798">
            <w:pPr>
              <w:keepNext/>
              <w:keepLines/>
              <w:tabs>
                <w:tab w:val="left" w:pos="203"/>
                <w:tab w:val="left" w:pos="1134"/>
              </w:tabs>
              <w:ind w:firstLine="0"/>
              <w:jc w:val="left"/>
              <w:rPr>
                <w:rFonts w:eastAsia="Calibri"/>
                <w:sz w:val="24"/>
                <w:szCs w:val="24"/>
                <w:lang w:eastAsia="lt-LT"/>
              </w:rPr>
            </w:pPr>
            <m:oMath>
              <m:sSub>
                <m:sSubPr>
                  <m:ctrlPr>
                    <w:rPr>
                      <w:rFonts w:ascii="Cambria Math" w:hAnsi="Cambria Math"/>
                    </w:rPr>
                  </m:ctrlPr>
                </m:sSubPr>
                <m:e>
                  <m:r>
                    <w:rPr>
                      <w:rFonts w:ascii="Cambria Math" w:hAnsi="Cambria Math"/>
                    </w:rPr>
                    <m:t>PK</m:t>
                  </m:r>
                </m:e>
                <m:sub>
                  <m:r>
                    <w:rPr>
                      <w:rFonts w:ascii="Cambria Math" w:hAnsi="Cambria Math"/>
                    </w:rPr>
                    <m:t>6</m:t>
                  </m:r>
                </m:sub>
              </m:sSub>
            </m:oMath>
            <w:r w:rsidR="00BE6DCB" w:rsidRPr="0061024A">
              <w:rPr>
                <w:sz w:val="24"/>
                <w:szCs w:val="24"/>
              </w:rPr>
              <w:t>=4</w:t>
            </w:r>
          </w:p>
        </w:tc>
      </w:tr>
      <w:tr w:rsidR="00BE6DCB" w:rsidRPr="0061024A" w:rsidTr="00874798">
        <w:trPr>
          <w:trHeight w:val="1090"/>
        </w:trPr>
        <w:tc>
          <w:tcPr>
            <w:tcW w:w="5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sz w:val="24"/>
                <w:szCs w:val="24"/>
                <w:lang w:eastAsia="lt-LT"/>
              </w:rPr>
            </w:pPr>
            <w:r w:rsidRPr="0061024A">
              <w:rPr>
                <w:rFonts w:eastAsia="Calibri"/>
                <w:sz w:val="24"/>
                <w:szCs w:val="24"/>
                <w:lang w:eastAsia="lt-LT"/>
              </w:rPr>
              <w:t>4.</w:t>
            </w:r>
          </w:p>
        </w:tc>
        <w:tc>
          <w:tcPr>
            <w:tcW w:w="2524" w:type="dxa"/>
            <w:tcBorders>
              <w:top w:val="single" w:sz="4" w:space="0" w:color="000000"/>
              <w:left w:val="single" w:sz="4" w:space="0" w:color="000000"/>
              <w:bottom w:val="single" w:sz="4" w:space="0" w:color="000000"/>
              <w:right w:val="single" w:sz="18" w:space="0" w:color="000000"/>
            </w:tcBorders>
          </w:tcPr>
          <w:p w:rsidR="00BE6DCB" w:rsidRPr="0061024A" w:rsidRDefault="00BE6DCB" w:rsidP="00874798">
            <w:pPr>
              <w:widowControl w:val="0"/>
              <w:tabs>
                <w:tab w:val="left" w:pos="203"/>
                <w:tab w:val="left" w:pos="1134"/>
              </w:tabs>
              <w:ind w:firstLine="0"/>
              <w:jc w:val="left"/>
              <w:rPr>
                <w:rFonts w:eastAsia="Calibri"/>
                <w:sz w:val="24"/>
                <w:szCs w:val="24"/>
                <w:lang w:eastAsia="lt-LT"/>
              </w:rPr>
            </w:pPr>
            <w:r w:rsidRPr="0061024A">
              <w:rPr>
                <w:rFonts w:eastAsia="Calibri"/>
                <w:sz w:val="24"/>
                <w:szCs w:val="24"/>
                <w:lang w:eastAsia="lt-LT"/>
              </w:rPr>
              <w:t>Негативний вплив на довіру людей до державних інституцій</w:t>
            </w:r>
          </w:p>
        </w:tc>
        <w:tc>
          <w:tcPr>
            <w:tcW w:w="2550" w:type="dxa"/>
            <w:gridSpan w:val="2"/>
            <w:tcBorders>
              <w:top w:val="single" w:sz="18" w:space="0" w:color="000000"/>
              <w:left w:val="single" w:sz="18" w:space="0" w:color="000000"/>
              <w:bottom w:val="single" w:sz="18" w:space="0" w:color="000000"/>
              <w:right w:val="single" w:sz="18" w:space="0" w:color="000000"/>
            </w:tcBorders>
            <w:shd w:val="clear" w:color="auto" w:fill="D9D9D9"/>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матиме значний вплив</w:t>
            </w:r>
          </w:p>
        </w:tc>
        <w:tc>
          <w:tcPr>
            <w:tcW w:w="2268" w:type="dxa"/>
            <w:tcBorders>
              <w:top w:val="single" w:sz="4" w:space="0" w:color="000000"/>
              <w:left w:val="single" w:sz="18" w:space="0" w:color="000000"/>
              <w:bottom w:val="single" w:sz="18" w:space="0" w:color="000000"/>
              <w:right w:val="single" w:sz="4" w:space="0" w:color="000000"/>
            </w:tcBorders>
          </w:tcPr>
          <w:p w:rsidR="00BE6DCB" w:rsidRPr="0061024A" w:rsidRDefault="00BE6DCB" w:rsidP="00874798">
            <w:pPr>
              <w:keepNext/>
              <w:keepLines/>
              <w:tabs>
                <w:tab w:val="left" w:pos="203"/>
              </w:tabs>
              <w:ind w:firstLine="0"/>
              <w:jc w:val="left"/>
              <w:rPr>
                <w:rFonts w:eastAsia="Calibri"/>
                <w:sz w:val="24"/>
                <w:szCs w:val="24"/>
                <w:lang w:eastAsia="lt-LT"/>
              </w:rPr>
            </w:pPr>
            <w:r w:rsidRPr="0061024A">
              <w:rPr>
                <w:rFonts w:eastAsia="Calibri"/>
                <w:sz w:val="24"/>
                <w:szCs w:val="24"/>
                <w:lang w:eastAsia="lt-LT"/>
              </w:rPr>
              <w:t>матиме великий вплив</w:t>
            </w:r>
          </w:p>
        </w:tc>
        <w:tc>
          <w:tcPr>
            <w:tcW w:w="2267"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матиме середній вплив</w:t>
            </w:r>
          </w:p>
        </w:tc>
        <w:tc>
          <w:tcPr>
            <w:tcW w:w="1982"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sz w:val="24"/>
                <w:szCs w:val="24"/>
                <w:lang w:eastAsia="lt-LT"/>
              </w:rPr>
              <w:t>матиме незначний вплив</w:t>
            </w:r>
          </w:p>
        </w:tc>
        <w:tc>
          <w:tcPr>
            <w:tcW w:w="1844"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rFonts w:eastAsia="Calibri"/>
                <w:sz w:val="24"/>
                <w:szCs w:val="24"/>
                <w:lang w:eastAsia="lt-LT"/>
              </w:rPr>
              <w:t>не критично</w:t>
            </w:r>
          </w:p>
        </w:tc>
        <w:tc>
          <w:tcPr>
            <w:tcW w:w="1023" w:type="dxa"/>
            <w:tcBorders>
              <w:top w:val="single" w:sz="4" w:space="0" w:color="000000"/>
              <w:left w:val="single" w:sz="4" w:space="0" w:color="000000"/>
              <w:bottom w:val="single" w:sz="4" w:space="0" w:color="000000"/>
              <w:right w:val="single" w:sz="4" w:space="0" w:color="000000"/>
            </w:tcBorders>
          </w:tcPr>
          <w:p w:rsidR="00BE6DCB" w:rsidRPr="0061024A" w:rsidRDefault="009B31E9" w:rsidP="00874798">
            <w:pPr>
              <w:keepNext/>
              <w:keepLines/>
              <w:tabs>
                <w:tab w:val="left" w:pos="203"/>
                <w:tab w:val="left" w:pos="1134"/>
              </w:tabs>
              <w:ind w:firstLine="0"/>
              <w:jc w:val="left"/>
              <w:rPr>
                <w:rFonts w:eastAsia="Calibri"/>
                <w:sz w:val="24"/>
                <w:szCs w:val="24"/>
                <w:lang w:eastAsia="lt-LT"/>
              </w:rPr>
            </w:pPr>
            <m:oMath>
              <m:sSub>
                <m:sSubPr>
                  <m:ctrlPr>
                    <w:rPr>
                      <w:rFonts w:ascii="Cambria Math" w:hAnsi="Cambria Math"/>
                    </w:rPr>
                  </m:ctrlPr>
                </m:sSubPr>
                <m:e>
                  <m:r>
                    <w:rPr>
                      <w:rFonts w:ascii="Cambria Math" w:hAnsi="Cambria Math"/>
                    </w:rPr>
                    <m:t>PK</m:t>
                  </m:r>
                </m:e>
                <m:sub>
                  <m:r>
                    <w:rPr>
                      <w:rFonts w:ascii="Cambria Math" w:hAnsi="Cambria Math"/>
                    </w:rPr>
                    <m:t>7</m:t>
                  </m:r>
                </m:sub>
              </m:sSub>
            </m:oMath>
            <w:r w:rsidR="00BE6DCB" w:rsidRPr="0061024A">
              <w:rPr>
                <w:sz w:val="24"/>
                <w:szCs w:val="24"/>
              </w:rPr>
              <w:t>=4</w:t>
            </w:r>
          </w:p>
        </w:tc>
      </w:tr>
      <w:tr w:rsidR="00BE6DCB" w:rsidRPr="0061024A" w:rsidTr="00874798">
        <w:trPr>
          <w:trHeight w:val="1588"/>
        </w:trPr>
        <w:tc>
          <w:tcPr>
            <w:tcW w:w="5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sz w:val="24"/>
                <w:szCs w:val="24"/>
                <w:lang w:eastAsia="lt-LT"/>
              </w:rPr>
            </w:pPr>
            <w:r w:rsidRPr="0061024A">
              <w:rPr>
                <w:rFonts w:eastAsia="Calibri"/>
                <w:sz w:val="24"/>
                <w:szCs w:val="24"/>
                <w:lang w:eastAsia="lt-LT"/>
              </w:rPr>
              <w:t>5</w:t>
            </w:r>
          </w:p>
        </w:tc>
        <w:tc>
          <w:tcPr>
            <w:tcW w:w="2524"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widowControl w:val="0"/>
              <w:tabs>
                <w:tab w:val="left" w:pos="203"/>
                <w:tab w:val="left" w:pos="1134"/>
              </w:tabs>
              <w:ind w:firstLine="0"/>
              <w:jc w:val="left"/>
              <w:rPr>
                <w:rFonts w:eastAsia="Calibri"/>
                <w:sz w:val="24"/>
                <w:szCs w:val="24"/>
                <w:lang w:eastAsia="lt-LT"/>
              </w:rPr>
            </w:pPr>
            <w:r w:rsidRPr="0061024A">
              <w:rPr>
                <w:rFonts w:eastAsia="Calibri"/>
                <w:sz w:val="24"/>
                <w:szCs w:val="24"/>
                <w:lang w:eastAsia="lt-LT"/>
              </w:rPr>
              <w:t>Шкода інтересам інших держав – партнерів України</w:t>
            </w:r>
          </w:p>
        </w:tc>
        <w:tc>
          <w:tcPr>
            <w:tcW w:w="2550" w:type="dxa"/>
            <w:gridSpan w:val="2"/>
            <w:tcBorders>
              <w:top w:val="single" w:sz="18" w:space="0" w:color="000000"/>
              <w:left w:val="single" w:sz="4" w:space="0" w:color="000000"/>
              <w:bottom w:val="single" w:sz="4" w:space="0" w:color="000000"/>
              <w:right w:val="single" w:sz="18"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так, принаймні двом країнам або порушення умов міжнародного договору, укладеного від імені України</w:t>
            </w:r>
          </w:p>
        </w:tc>
        <w:tc>
          <w:tcPr>
            <w:tcW w:w="2268" w:type="dxa"/>
            <w:tcBorders>
              <w:top w:val="single" w:sz="18" w:space="0" w:color="000000"/>
              <w:left w:val="single" w:sz="18" w:space="0" w:color="000000"/>
              <w:bottom w:val="single" w:sz="4" w:space="0" w:color="000000"/>
              <w:right w:val="single" w:sz="18" w:space="0" w:color="000000"/>
            </w:tcBorders>
            <w:shd w:val="clear" w:color="auto" w:fill="D9D9D9"/>
          </w:tcPr>
          <w:p w:rsidR="00BE6DCB" w:rsidRPr="0061024A" w:rsidRDefault="00BE6DCB" w:rsidP="00874798">
            <w:pPr>
              <w:keepNext/>
              <w:keepLines/>
              <w:tabs>
                <w:tab w:val="left" w:pos="203"/>
              </w:tabs>
              <w:ind w:firstLine="0"/>
              <w:jc w:val="left"/>
              <w:rPr>
                <w:rFonts w:eastAsia="Calibri"/>
                <w:sz w:val="24"/>
                <w:szCs w:val="24"/>
                <w:lang w:eastAsia="lt-LT"/>
              </w:rPr>
            </w:pPr>
            <w:r w:rsidRPr="0061024A">
              <w:rPr>
                <w:sz w:val="24"/>
                <w:szCs w:val="24"/>
              </w:rPr>
              <w:t>так, принаймні одній країні або порушення умов міжнародного договору, укладеного від імені Уряду України</w:t>
            </w:r>
          </w:p>
        </w:tc>
        <w:tc>
          <w:tcPr>
            <w:tcW w:w="2267" w:type="dxa"/>
            <w:tcBorders>
              <w:top w:val="single" w:sz="4" w:space="0" w:color="000000"/>
              <w:left w:val="single" w:sz="18"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можливі негативні наслідки для інших держав, але їх вплив навряд чи буде значним</w:t>
            </w:r>
          </w:p>
        </w:tc>
        <w:tc>
          <w:tcPr>
            <w:tcW w:w="1982"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держави не постраждають або немає порушення умов міжнародного договору, укладеного від імені міністерства, іншого центрального органу виконавчої влади, державного органу</w:t>
            </w:r>
          </w:p>
        </w:tc>
        <w:tc>
          <w:tcPr>
            <w:tcW w:w="1844"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rFonts w:eastAsia="Calibri"/>
                <w:sz w:val="24"/>
                <w:szCs w:val="24"/>
                <w:lang w:eastAsia="lt-LT"/>
              </w:rPr>
              <w:t>не критично</w:t>
            </w:r>
          </w:p>
        </w:tc>
        <w:tc>
          <w:tcPr>
            <w:tcW w:w="1023" w:type="dxa"/>
            <w:tcBorders>
              <w:top w:val="single" w:sz="4" w:space="0" w:color="000000"/>
              <w:left w:val="single" w:sz="4" w:space="0" w:color="000000"/>
              <w:bottom w:val="single" w:sz="4" w:space="0" w:color="000000"/>
              <w:right w:val="single" w:sz="4" w:space="0" w:color="000000"/>
            </w:tcBorders>
          </w:tcPr>
          <w:p w:rsidR="00BE6DCB" w:rsidRPr="0061024A" w:rsidRDefault="009B31E9" w:rsidP="00874798">
            <w:pPr>
              <w:keepNext/>
              <w:keepLines/>
              <w:tabs>
                <w:tab w:val="left" w:pos="203"/>
                <w:tab w:val="left" w:pos="1134"/>
              </w:tabs>
              <w:ind w:firstLine="0"/>
              <w:jc w:val="left"/>
              <w:rPr>
                <w:rFonts w:eastAsia="Calibri"/>
                <w:sz w:val="24"/>
                <w:szCs w:val="24"/>
                <w:lang w:eastAsia="lt-LT"/>
              </w:rPr>
            </w:pPr>
            <m:oMath>
              <m:sSub>
                <m:sSubPr>
                  <m:ctrlPr>
                    <w:rPr>
                      <w:rFonts w:ascii="Cambria Math" w:hAnsi="Cambria Math"/>
                    </w:rPr>
                  </m:ctrlPr>
                </m:sSubPr>
                <m:e>
                  <m:r>
                    <w:rPr>
                      <w:rFonts w:ascii="Cambria Math" w:hAnsi="Cambria Math"/>
                    </w:rPr>
                    <m:t>PK</m:t>
                  </m:r>
                </m:e>
                <m:sub>
                  <m:r>
                    <w:rPr>
                      <w:rFonts w:ascii="Cambria Math" w:hAnsi="Cambria Math"/>
                    </w:rPr>
                    <m:t>8</m:t>
                  </m:r>
                </m:sub>
              </m:sSub>
            </m:oMath>
            <w:r w:rsidR="00BE6DCB" w:rsidRPr="0061024A">
              <w:rPr>
                <w:sz w:val="24"/>
                <w:szCs w:val="24"/>
              </w:rPr>
              <w:t>=3</w:t>
            </w:r>
          </w:p>
        </w:tc>
      </w:tr>
      <w:tr w:rsidR="00BE6DCB" w:rsidRPr="0061024A" w:rsidTr="00874798">
        <w:trPr>
          <w:trHeight w:val="440"/>
        </w:trPr>
        <w:tc>
          <w:tcPr>
            <w:tcW w:w="15026" w:type="dxa"/>
            <w:gridSpan w:val="9"/>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b/>
                <w:sz w:val="24"/>
                <w:szCs w:val="24"/>
                <w:lang w:eastAsia="lt-LT"/>
              </w:rPr>
            </w:pPr>
            <w:r w:rsidRPr="0061024A">
              <w:rPr>
                <w:rFonts w:eastAsia="Calibri"/>
                <w:b/>
                <w:sz w:val="24"/>
                <w:szCs w:val="24"/>
                <w:lang w:eastAsia="lt-LT"/>
              </w:rPr>
              <w:t>ІІІ. Економічна значущість об’єкта критичної інфраструктури</w:t>
            </w:r>
          </w:p>
        </w:tc>
      </w:tr>
      <w:tr w:rsidR="00BE6DCB" w:rsidRPr="0061024A" w:rsidTr="00874798">
        <w:trPr>
          <w:trHeight w:val="1090"/>
        </w:trPr>
        <w:tc>
          <w:tcPr>
            <w:tcW w:w="5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6.</w:t>
            </w:r>
          </w:p>
        </w:tc>
        <w:tc>
          <w:tcPr>
            <w:tcW w:w="2641" w:type="dxa"/>
            <w:gridSpan w:val="2"/>
            <w:tcBorders>
              <w:top w:val="single" w:sz="4" w:space="0" w:color="000000"/>
              <w:left w:val="single" w:sz="4" w:space="0" w:color="000000"/>
              <w:bottom w:val="single" w:sz="4" w:space="0" w:color="000000"/>
              <w:right w:val="single" w:sz="18" w:space="0" w:color="000000"/>
            </w:tcBorders>
          </w:tcPr>
          <w:p w:rsidR="00BE6DCB" w:rsidRPr="0061024A" w:rsidRDefault="00BE6DCB" w:rsidP="00874798">
            <w:pPr>
              <w:widowControl w:val="0"/>
              <w:tabs>
                <w:tab w:val="left" w:pos="203"/>
                <w:tab w:val="left" w:pos="1134"/>
              </w:tabs>
              <w:ind w:firstLine="0"/>
              <w:jc w:val="left"/>
              <w:rPr>
                <w:rFonts w:eastAsia="Calibri"/>
                <w:sz w:val="24"/>
                <w:szCs w:val="24"/>
                <w:lang w:eastAsia="lt-LT"/>
              </w:rPr>
            </w:pPr>
            <w:r w:rsidRPr="0061024A">
              <w:rPr>
                <w:sz w:val="24"/>
                <w:szCs w:val="24"/>
              </w:rPr>
              <w:t xml:space="preserve">Заподіяння збитків об’єкту інфраструктури </w:t>
            </w:r>
            <w:r w:rsidRPr="0061024A">
              <w:rPr>
                <w:sz w:val="24"/>
                <w:szCs w:val="24"/>
              </w:rPr>
              <w:br/>
              <w:t>(у відсотках прогнозованого обсягу річного доходу за всіма видами діяльності)</w:t>
            </w:r>
          </w:p>
        </w:tc>
        <w:tc>
          <w:tcPr>
            <w:tcW w:w="2433" w:type="dxa"/>
            <w:tcBorders>
              <w:top w:val="single" w:sz="18" w:space="0" w:color="000000"/>
              <w:left w:val="single" w:sz="18" w:space="0" w:color="000000"/>
              <w:bottom w:val="single" w:sz="4" w:space="0" w:color="000000"/>
              <w:right w:val="single" w:sz="18" w:space="0" w:color="000000"/>
            </w:tcBorders>
            <w:shd w:val="clear" w:color="auto" w:fill="D9D9D9"/>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більш як 15 відсотків</w:t>
            </w:r>
          </w:p>
        </w:tc>
        <w:tc>
          <w:tcPr>
            <w:tcW w:w="2268" w:type="dxa"/>
            <w:tcBorders>
              <w:top w:val="single" w:sz="4" w:space="0" w:color="000000"/>
              <w:left w:val="single" w:sz="18" w:space="0" w:color="000000"/>
              <w:bottom w:val="single" w:sz="4" w:space="0" w:color="000000"/>
              <w:right w:val="single" w:sz="4" w:space="0" w:color="000000"/>
            </w:tcBorders>
          </w:tcPr>
          <w:p w:rsidR="00BE6DCB" w:rsidRPr="0061024A" w:rsidRDefault="00BE6DCB" w:rsidP="00874798">
            <w:pPr>
              <w:keepNext/>
              <w:keepLines/>
              <w:tabs>
                <w:tab w:val="left" w:pos="203"/>
              </w:tabs>
              <w:ind w:firstLine="0"/>
              <w:jc w:val="left"/>
              <w:rPr>
                <w:rFonts w:eastAsia="Calibri"/>
                <w:sz w:val="24"/>
                <w:szCs w:val="24"/>
                <w:lang w:eastAsia="lt-LT"/>
              </w:rPr>
            </w:pPr>
            <w:r w:rsidRPr="0061024A">
              <w:rPr>
                <w:sz w:val="24"/>
                <w:szCs w:val="24"/>
              </w:rPr>
              <w:t xml:space="preserve">від 10 до </w:t>
            </w:r>
            <w:r w:rsidRPr="0061024A">
              <w:rPr>
                <w:sz w:val="24"/>
                <w:szCs w:val="24"/>
              </w:rPr>
              <w:br/>
              <w:t>15 відсотків</w:t>
            </w:r>
          </w:p>
        </w:tc>
        <w:tc>
          <w:tcPr>
            <w:tcW w:w="2267"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 xml:space="preserve">від 5 до </w:t>
            </w:r>
            <w:r w:rsidRPr="0061024A">
              <w:rPr>
                <w:sz w:val="24"/>
                <w:szCs w:val="24"/>
              </w:rPr>
              <w:br/>
              <w:t>10 відсотків</w:t>
            </w:r>
          </w:p>
        </w:tc>
        <w:tc>
          <w:tcPr>
            <w:tcW w:w="1982"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 xml:space="preserve">менш як </w:t>
            </w:r>
            <w:r w:rsidRPr="0061024A">
              <w:rPr>
                <w:sz w:val="24"/>
                <w:szCs w:val="24"/>
              </w:rPr>
              <w:br/>
              <w:t>5 відсотків</w:t>
            </w:r>
          </w:p>
        </w:tc>
        <w:tc>
          <w:tcPr>
            <w:tcW w:w="1844"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rFonts w:eastAsia="Calibri"/>
                <w:sz w:val="24"/>
                <w:szCs w:val="24"/>
                <w:lang w:eastAsia="lt-LT"/>
              </w:rPr>
              <w:t>не критично</w:t>
            </w:r>
          </w:p>
        </w:tc>
        <w:tc>
          <w:tcPr>
            <w:tcW w:w="1023" w:type="dxa"/>
            <w:tcBorders>
              <w:top w:val="single" w:sz="4" w:space="0" w:color="000000"/>
              <w:left w:val="single" w:sz="4" w:space="0" w:color="000000"/>
              <w:bottom w:val="single" w:sz="4" w:space="0" w:color="000000"/>
              <w:right w:val="single" w:sz="4" w:space="0" w:color="000000"/>
            </w:tcBorders>
          </w:tcPr>
          <w:p w:rsidR="00BE6DCB" w:rsidRPr="0061024A" w:rsidRDefault="009B31E9" w:rsidP="00874798">
            <w:pPr>
              <w:keepNext/>
              <w:keepLines/>
              <w:tabs>
                <w:tab w:val="left" w:pos="203"/>
                <w:tab w:val="left" w:pos="1134"/>
              </w:tabs>
              <w:ind w:firstLine="0"/>
              <w:jc w:val="left"/>
              <w:rPr>
                <w:rFonts w:eastAsia="Calibri"/>
                <w:sz w:val="24"/>
                <w:szCs w:val="24"/>
                <w:lang w:eastAsia="lt-LT"/>
              </w:rPr>
            </w:pPr>
            <m:oMath>
              <m:sSub>
                <m:sSubPr>
                  <m:ctrlPr>
                    <w:rPr>
                      <w:rFonts w:ascii="Cambria Math" w:hAnsi="Cambria Math"/>
                    </w:rPr>
                  </m:ctrlPr>
                </m:sSubPr>
                <m:e>
                  <m:r>
                    <w:rPr>
                      <w:rFonts w:ascii="Cambria Math" w:hAnsi="Cambria Math"/>
                    </w:rPr>
                    <m:t>PK</m:t>
                  </m:r>
                </m:e>
                <m:sub>
                  <m:r>
                    <w:rPr>
                      <w:rFonts w:ascii="Cambria Math" w:hAnsi="Cambria Math"/>
                    </w:rPr>
                    <m:t>9</m:t>
                  </m:r>
                </m:sub>
              </m:sSub>
            </m:oMath>
            <w:r w:rsidR="00BE6DCB" w:rsidRPr="0061024A">
              <w:rPr>
                <w:sz w:val="24"/>
                <w:szCs w:val="24"/>
              </w:rPr>
              <w:t>=4</w:t>
            </w:r>
          </w:p>
        </w:tc>
      </w:tr>
      <w:tr w:rsidR="00BE6DCB" w:rsidRPr="0061024A" w:rsidTr="00874798">
        <w:trPr>
          <w:trHeight w:val="1090"/>
        </w:trPr>
        <w:tc>
          <w:tcPr>
            <w:tcW w:w="5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sz w:val="24"/>
                <w:szCs w:val="24"/>
                <w:lang w:eastAsia="lt-LT"/>
              </w:rPr>
            </w:pPr>
            <w:r w:rsidRPr="0061024A">
              <w:rPr>
                <w:rFonts w:eastAsia="Calibri"/>
                <w:sz w:val="24"/>
                <w:szCs w:val="24"/>
                <w:lang w:eastAsia="lt-LT"/>
              </w:rPr>
              <w:lastRenderedPageBreak/>
              <w:t>7.</w:t>
            </w:r>
          </w:p>
        </w:tc>
        <w:tc>
          <w:tcPr>
            <w:tcW w:w="2641" w:type="dxa"/>
            <w:gridSpan w:val="2"/>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widowControl w:val="0"/>
              <w:tabs>
                <w:tab w:val="left" w:pos="203"/>
                <w:tab w:val="left" w:pos="1134"/>
              </w:tabs>
              <w:ind w:firstLine="0"/>
              <w:jc w:val="left"/>
              <w:rPr>
                <w:rFonts w:eastAsia="Calibri"/>
                <w:sz w:val="24"/>
                <w:szCs w:val="24"/>
                <w:lang w:eastAsia="lt-LT"/>
              </w:rPr>
            </w:pPr>
            <w:r w:rsidRPr="0061024A">
              <w:rPr>
                <w:sz w:val="24"/>
                <w:szCs w:val="24"/>
              </w:rPr>
              <w:t>Заподіяння збитків державному бюджету (зниження прибутків бюджету у відсотках прогнозованого річного прибутку бюджету)</w:t>
            </w:r>
          </w:p>
        </w:tc>
        <w:tc>
          <w:tcPr>
            <w:tcW w:w="2433"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більш як 0,1 відсотка</w:t>
            </w:r>
          </w:p>
        </w:tc>
        <w:tc>
          <w:tcPr>
            <w:tcW w:w="22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s>
              <w:ind w:firstLine="0"/>
              <w:jc w:val="left"/>
              <w:rPr>
                <w:rFonts w:eastAsia="Calibri"/>
                <w:sz w:val="24"/>
                <w:szCs w:val="24"/>
                <w:lang w:eastAsia="lt-LT"/>
              </w:rPr>
            </w:pPr>
            <w:r w:rsidRPr="0061024A">
              <w:rPr>
                <w:sz w:val="24"/>
                <w:szCs w:val="24"/>
              </w:rPr>
              <w:t xml:space="preserve">від 0,1 до </w:t>
            </w:r>
            <w:r w:rsidRPr="0061024A">
              <w:rPr>
                <w:sz w:val="24"/>
                <w:szCs w:val="24"/>
              </w:rPr>
              <w:br/>
              <w:t>0,05 відсотка</w:t>
            </w:r>
          </w:p>
        </w:tc>
        <w:tc>
          <w:tcPr>
            <w:tcW w:w="2267" w:type="dxa"/>
            <w:tcBorders>
              <w:top w:val="single" w:sz="4" w:space="0" w:color="000000"/>
              <w:left w:val="single" w:sz="4" w:space="0" w:color="000000"/>
              <w:bottom w:val="single" w:sz="4" w:space="0" w:color="000000"/>
              <w:right w:val="single" w:sz="18"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 xml:space="preserve">від 0,05 до </w:t>
            </w:r>
            <w:r w:rsidRPr="0061024A">
              <w:rPr>
                <w:sz w:val="24"/>
                <w:szCs w:val="24"/>
              </w:rPr>
              <w:br/>
              <w:t>0,01 відсотка</w:t>
            </w:r>
          </w:p>
        </w:tc>
        <w:tc>
          <w:tcPr>
            <w:tcW w:w="1982" w:type="dxa"/>
            <w:tcBorders>
              <w:top w:val="single" w:sz="4" w:space="0" w:color="000000"/>
              <w:left w:val="single" w:sz="18" w:space="0" w:color="000000"/>
              <w:bottom w:val="single" w:sz="18" w:space="0" w:color="000000"/>
              <w:right w:val="single" w:sz="18" w:space="0" w:color="000000"/>
            </w:tcBorders>
            <w:shd w:val="clear" w:color="auto" w:fill="D9D9D9"/>
          </w:tcPr>
          <w:p w:rsidR="00BE6DCB" w:rsidRPr="0061024A" w:rsidRDefault="003D615C" w:rsidP="00874798">
            <w:pPr>
              <w:keepNext/>
              <w:keepLines/>
              <w:tabs>
                <w:tab w:val="left" w:pos="203"/>
                <w:tab w:val="left" w:pos="1134"/>
              </w:tabs>
              <w:ind w:firstLine="0"/>
              <w:jc w:val="left"/>
              <w:rPr>
                <w:rFonts w:eastAsia="Calibri"/>
                <w:sz w:val="24"/>
                <w:szCs w:val="24"/>
                <w:lang w:eastAsia="lt-LT"/>
              </w:rPr>
            </w:pPr>
            <w:r>
              <w:rPr>
                <w:noProof/>
                <w:lang w:eastAsia="uk-UA"/>
              </w:rPr>
              <mc:AlternateContent>
                <mc:Choice Requires="wps">
                  <w:drawing>
                    <wp:anchor distT="0" distB="0" distL="0" distR="0" simplePos="0" relativeHeight="251674624" behindDoc="1" locked="0" layoutInCell="1" allowOverlap="1" wp14:anchorId="1094933B" wp14:editId="2EE0EED7">
                      <wp:simplePos x="0" y="0"/>
                      <wp:positionH relativeFrom="margin">
                        <wp:posOffset>1008380</wp:posOffset>
                      </wp:positionH>
                      <wp:positionV relativeFrom="paragraph">
                        <wp:posOffset>-654050</wp:posOffset>
                      </wp:positionV>
                      <wp:extent cx="2088515" cy="351790"/>
                      <wp:effectExtent l="0" t="0" r="26035" b="1016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351790"/>
                              </a:xfrm>
                              <a:prstGeom prst="rect">
                                <a:avLst/>
                              </a:prstGeom>
                              <a:solidFill>
                                <a:srgbClr val="FFFFFF"/>
                              </a:solidFill>
                              <a:ln w="9360">
                                <a:solidFill>
                                  <a:srgbClr val="FFFFFF"/>
                                </a:solidFill>
                                <a:miter/>
                              </a:ln>
                              <a:effectLst/>
                            </wps:spPr>
                            <wps:txbx>
                              <w:txbxContent>
                                <w:p w:rsidR="003D615C" w:rsidRDefault="003D615C" w:rsidP="003D615C">
                                  <w:pPr>
                                    <w:pStyle w:val="a6"/>
                                    <w:ind w:firstLine="0"/>
                                  </w:pPr>
                                  <w:r>
                                    <w:t>Продовження додатка 1</w:t>
                                  </w:r>
                                </w:p>
                                <w:p w:rsidR="003D615C" w:rsidRDefault="003D615C" w:rsidP="003D615C">
                                  <w:pPr>
                                    <w:pStyle w:val="a6"/>
                                  </w:pPr>
                                </w:p>
                                <w:p w:rsidR="003D615C" w:rsidRDefault="003D615C" w:rsidP="003D615C">
                                  <w:pPr>
                                    <w:pStyle w:val="a6"/>
                                  </w:pPr>
                                </w:p>
                                <w:p w:rsidR="003D615C" w:rsidRDefault="003D615C" w:rsidP="003D615C">
                                  <w:pPr>
                                    <w:pStyle w:val="a6"/>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1094933B" id="Прямоугольник 6" o:spid="_x0000_s1033" style="position:absolute;margin-left:79.4pt;margin-top:-51.5pt;width:164.45pt;height:27.7pt;z-index:-2516418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" strokecolor="white" strokeweight=".26mm">
                      <v:path arrowok="t"/>
                      <v:textbox>
                        <w:txbxContent>
                          <w:p w:rsidR="003D615C" w:rsidRDefault="003D615C" w:rsidP="003D615C">
                            <w:pPr>
                              <w:pStyle w:val="a6"/>
                              <w:ind w:firstLine="0"/>
                            </w:pPr>
                            <w:r>
                              <w:t>Продовження додатка 1</w:t>
                            </w:r>
                          </w:p>
                          <w:p w:rsidR="003D615C" w:rsidRDefault="003D615C" w:rsidP="003D615C">
                            <w:pPr>
                              <w:pStyle w:val="a6"/>
                            </w:pPr>
                          </w:p>
                          <w:p w:rsidR="003D615C" w:rsidRDefault="003D615C" w:rsidP="003D615C">
                            <w:pPr>
                              <w:pStyle w:val="a6"/>
                            </w:pPr>
                          </w:p>
                          <w:p w:rsidR="003D615C" w:rsidRDefault="003D615C" w:rsidP="003D615C">
                            <w:pPr>
                              <w:pStyle w:val="a6"/>
                            </w:pPr>
                          </w:p>
                        </w:txbxContent>
                      </v:textbox>
                      <w10:wrap anchorx="margin"/>
                    </v:rect>
                  </w:pict>
                </mc:Fallback>
              </mc:AlternateContent>
            </w:r>
            <w:r w:rsidR="00BE6DCB" w:rsidRPr="0061024A">
              <w:rPr>
                <w:sz w:val="24"/>
                <w:szCs w:val="24"/>
              </w:rPr>
              <w:t xml:space="preserve">менш як </w:t>
            </w:r>
            <w:r w:rsidR="00BE6DCB" w:rsidRPr="0061024A">
              <w:rPr>
                <w:sz w:val="24"/>
                <w:szCs w:val="24"/>
              </w:rPr>
              <w:br/>
              <w:t>0,01 відсотка</w:t>
            </w:r>
          </w:p>
        </w:tc>
        <w:tc>
          <w:tcPr>
            <w:tcW w:w="1844" w:type="dxa"/>
            <w:tcBorders>
              <w:top w:val="single" w:sz="4" w:space="0" w:color="000000"/>
              <w:left w:val="single" w:sz="18"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rFonts w:eastAsia="Calibri"/>
                <w:sz w:val="24"/>
                <w:szCs w:val="24"/>
                <w:lang w:eastAsia="lt-LT"/>
              </w:rPr>
              <w:t>не критично</w:t>
            </w:r>
          </w:p>
        </w:tc>
        <w:tc>
          <w:tcPr>
            <w:tcW w:w="1023" w:type="dxa"/>
            <w:tcBorders>
              <w:top w:val="single" w:sz="4" w:space="0" w:color="000000"/>
              <w:left w:val="single" w:sz="4" w:space="0" w:color="000000"/>
              <w:bottom w:val="single" w:sz="4" w:space="0" w:color="000000"/>
              <w:right w:val="single" w:sz="4" w:space="0" w:color="000000"/>
            </w:tcBorders>
          </w:tcPr>
          <w:p w:rsidR="00BE6DCB" w:rsidRPr="0061024A" w:rsidRDefault="009B31E9" w:rsidP="00874798">
            <w:pPr>
              <w:keepNext/>
              <w:keepLines/>
              <w:tabs>
                <w:tab w:val="left" w:pos="203"/>
                <w:tab w:val="left" w:pos="1134"/>
              </w:tabs>
              <w:ind w:firstLine="0"/>
              <w:jc w:val="left"/>
              <w:rPr>
                <w:rFonts w:eastAsia="Calibri"/>
                <w:sz w:val="24"/>
                <w:szCs w:val="24"/>
                <w:lang w:eastAsia="lt-LT"/>
              </w:rPr>
            </w:pPr>
            <m:oMath>
              <m:sSub>
                <m:sSubPr>
                  <m:ctrlPr>
                    <w:rPr>
                      <w:rFonts w:ascii="Cambria Math" w:hAnsi="Cambria Math"/>
                    </w:rPr>
                  </m:ctrlPr>
                </m:sSubPr>
                <m:e>
                  <m:r>
                    <w:rPr>
                      <w:rFonts w:ascii="Cambria Math" w:hAnsi="Cambria Math"/>
                    </w:rPr>
                    <m:t>PK</m:t>
                  </m:r>
                </m:e>
                <m:sub>
                  <m:r>
                    <w:rPr>
                      <w:rFonts w:ascii="Cambria Math" w:hAnsi="Cambria Math"/>
                    </w:rPr>
                    <m:t>10</m:t>
                  </m:r>
                </m:sub>
              </m:sSub>
            </m:oMath>
            <w:r w:rsidR="00BE6DCB" w:rsidRPr="0061024A">
              <w:rPr>
                <w:sz w:val="24"/>
                <w:szCs w:val="24"/>
              </w:rPr>
              <w:t>=1</w:t>
            </w:r>
          </w:p>
        </w:tc>
      </w:tr>
      <w:tr w:rsidR="00BE6DCB" w:rsidRPr="0061024A" w:rsidTr="00874798">
        <w:trPr>
          <w:trHeight w:val="230"/>
        </w:trPr>
        <w:tc>
          <w:tcPr>
            <w:tcW w:w="5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sz w:val="24"/>
                <w:szCs w:val="24"/>
                <w:lang w:eastAsia="lt-LT"/>
              </w:rPr>
            </w:pPr>
            <w:r w:rsidRPr="0061024A">
              <w:rPr>
                <w:rFonts w:eastAsia="Calibri"/>
                <w:sz w:val="24"/>
                <w:szCs w:val="24"/>
                <w:lang w:eastAsia="lt-LT"/>
              </w:rPr>
              <w:t>8.</w:t>
            </w:r>
          </w:p>
        </w:tc>
        <w:tc>
          <w:tcPr>
            <w:tcW w:w="2641" w:type="dxa"/>
            <w:gridSpan w:val="2"/>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widowControl w:val="0"/>
              <w:tabs>
                <w:tab w:val="left" w:pos="203"/>
                <w:tab w:val="left" w:pos="1134"/>
              </w:tabs>
              <w:ind w:firstLine="0"/>
              <w:jc w:val="left"/>
              <w:rPr>
                <w:rFonts w:eastAsia="Calibri"/>
                <w:sz w:val="24"/>
                <w:szCs w:val="24"/>
                <w:lang w:eastAsia="lt-LT"/>
              </w:rPr>
            </w:pPr>
            <w:r w:rsidRPr="0061024A">
              <w:rPr>
                <w:sz w:val="24"/>
                <w:szCs w:val="24"/>
              </w:rPr>
              <w:t>Заподіяння збитків місцевим бюджетам (зниження прибутків бюджету у відсотках прогнозованого річного прибутку бюджету)</w:t>
            </w:r>
          </w:p>
        </w:tc>
        <w:tc>
          <w:tcPr>
            <w:tcW w:w="2433"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 xml:space="preserve">більш як 0,1 відсотка </w:t>
            </w:r>
          </w:p>
        </w:tc>
        <w:tc>
          <w:tcPr>
            <w:tcW w:w="22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s>
              <w:ind w:firstLine="0"/>
              <w:jc w:val="left"/>
              <w:rPr>
                <w:rFonts w:eastAsia="Calibri"/>
                <w:sz w:val="24"/>
                <w:szCs w:val="24"/>
                <w:lang w:eastAsia="lt-LT"/>
              </w:rPr>
            </w:pPr>
            <w:r w:rsidRPr="0061024A">
              <w:rPr>
                <w:sz w:val="24"/>
                <w:szCs w:val="24"/>
              </w:rPr>
              <w:t xml:space="preserve">від 0,1 до </w:t>
            </w:r>
            <w:r w:rsidRPr="0061024A">
              <w:rPr>
                <w:sz w:val="24"/>
                <w:szCs w:val="24"/>
              </w:rPr>
              <w:br/>
              <w:t>0,05 відсотка</w:t>
            </w:r>
          </w:p>
        </w:tc>
        <w:tc>
          <w:tcPr>
            <w:tcW w:w="2267" w:type="dxa"/>
            <w:tcBorders>
              <w:top w:val="single" w:sz="4" w:space="0" w:color="000000"/>
              <w:left w:val="single" w:sz="4" w:space="0" w:color="000000"/>
              <w:bottom w:val="single" w:sz="4" w:space="0" w:color="000000"/>
              <w:right w:val="single" w:sz="18"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 xml:space="preserve">від 0,05 до </w:t>
            </w:r>
            <w:r w:rsidRPr="0061024A">
              <w:rPr>
                <w:sz w:val="24"/>
                <w:szCs w:val="24"/>
              </w:rPr>
              <w:br/>
              <w:t>0,01 відсотка</w:t>
            </w:r>
          </w:p>
        </w:tc>
        <w:tc>
          <w:tcPr>
            <w:tcW w:w="1982" w:type="dxa"/>
            <w:tcBorders>
              <w:top w:val="single" w:sz="18" w:space="0" w:color="000000"/>
              <w:left w:val="single" w:sz="18" w:space="0" w:color="000000"/>
              <w:bottom w:val="single" w:sz="18" w:space="0" w:color="000000"/>
              <w:right w:val="single" w:sz="18" w:space="0" w:color="000000"/>
            </w:tcBorders>
            <w:shd w:val="clear" w:color="auto" w:fill="D9D9D9"/>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 xml:space="preserve">менш як </w:t>
            </w:r>
            <w:r w:rsidRPr="0061024A">
              <w:rPr>
                <w:sz w:val="24"/>
                <w:szCs w:val="24"/>
              </w:rPr>
              <w:br/>
              <w:t>0,01 відсотка</w:t>
            </w:r>
          </w:p>
        </w:tc>
        <w:tc>
          <w:tcPr>
            <w:tcW w:w="1844" w:type="dxa"/>
            <w:tcBorders>
              <w:top w:val="single" w:sz="4" w:space="0" w:color="000000"/>
              <w:left w:val="single" w:sz="18"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sz w:val="24"/>
                <w:szCs w:val="24"/>
              </w:rPr>
              <w:t>не критично</w:t>
            </w:r>
          </w:p>
        </w:tc>
        <w:tc>
          <w:tcPr>
            <w:tcW w:w="1023" w:type="dxa"/>
            <w:tcBorders>
              <w:top w:val="single" w:sz="4" w:space="0" w:color="000000"/>
              <w:left w:val="single" w:sz="4" w:space="0" w:color="000000"/>
              <w:bottom w:val="single" w:sz="4" w:space="0" w:color="000000"/>
              <w:right w:val="single" w:sz="4" w:space="0" w:color="000000"/>
            </w:tcBorders>
          </w:tcPr>
          <w:p w:rsidR="00BE6DCB" w:rsidRPr="0061024A" w:rsidRDefault="009B31E9" w:rsidP="00874798">
            <w:pPr>
              <w:keepNext/>
              <w:keepLines/>
              <w:tabs>
                <w:tab w:val="left" w:pos="203"/>
                <w:tab w:val="left" w:pos="1134"/>
              </w:tabs>
              <w:ind w:firstLine="0"/>
              <w:jc w:val="left"/>
              <w:rPr>
                <w:rFonts w:eastAsia="Calibri"/>
                <w:sz w:val="24"/>
                <w:szCs w:val="24"/>
                <w:lang w:eastAsia="lt-LT"/>
              </w:rPr>
            </w:pPr>
            <m:oMath>
              <m:sSub>
                <m:sSubPr>
                  <m:ctrlPr>
                    <w:rPr>
                      <w:rFonts w:ascii="Cambria Math" w:hAnsi="Cambria Math"/>
                    </w:rPr>
                  </m:ctrlPr>
                </m:sSubPr>
                <m:e>
                  <m:r>
                    <w:rPr>
                      <w:rFonts w:ascii="Cambria Math" w:hAnsi="Cambria Math"/>
                    </w:rPr>
                    <m:t>PK</m:t>
                  </m:r>
                </m:e>
                <m:sub>
                  <m:r>
                    <w:rPr>
                      <w:rFonts w:ascii="Cambria Math" w:hAnsi="Cambria Math"/>
                    </w:rPr>
                    <m:t>11</m:t>
                  </m:r>
                </m:sub>
              </m:sSub>
            </m:oMath>
            <w:r w:rsidR="00BE6DCB" w:rsidRPr="0061024A">
              <w:rPr>
                <w:sz w:val="24"/>
                <w:szCs w:val="24"/>
              </w:rPr>
              <w:t>=1</w:t>
            </w:r>
          </w:p>
        </w:tc>
      </w:tr>
      <w:tr w:rsidR="00BE6DCB" w:rsidRPr="0061024A" w:rsidTr="00874798">
        <w:trPr>
          <w:trHeight w:val="561"/>
        </w:trPr>
        <w:tc>
          <w:tcPr>
            <w:tcW w:w="15026" w:type="dxa"/>
            <w:gridSpan w:val="9"/>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b/>
                <w:sz w:val="24"/>
                <w:szCs w:val="24"/>
                <w:lang w:eastAsia="lt-LT"/>
              </w:rPr>
            </w:pPr>
            <w:r w:rsidRPr="0061024A">
              <w:rPr>
                <w:rFonts w:eastAsia="Calibri"/>
                <w:b/>
                <w:sz w:val="24"/>
                <w:szCs w:val="24"/>
                <w:lang w:eastAsia="lt-LT"/>
              </w:rPr>
              <w:t>ІV. Взаємозв’язок між об’єктами критичної інфраструктури</w:t>
            </w:r>
          </w:p>
        </w:tc>
      </w:tr>
      <w:tr w:rsidR="00BE6DCB" w:rsidRPr="0061024A" w:rsidTr="00874798">
        <w:trPr>
          <w:trHeight w:val="561"/>
        </w:trPr>
        <w:tc>
          <w:tcPr>
            <w:tcW w:w="5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t>9.</w:t>
            </w:r>
          </w:p>
        </w:tc>
        <w:tc>
          <w:tcPr>
            <w:tcW w:w="2641" w:type="dxa"/>
            <w:gridSpan w:val="2"/>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widowControl w:val="0"/>
              <w:tabs>
                <w:tab w:val="left" w:pos="203"/>
                <w:tab w:val="left" w:pos="1134"/>
              </w:tabs>
              <w:ind w:firstLine="0"/>
              <w:jc w:val="left"/>
              <w:rPr>
                <w:rFonts w:eastAsia="Calibri"/>
                <w:sz w:val="24"/>
                <w:szCs w:val="24"/>
                <w:lang w:eastAsia="lt-LT"/>
              </w:rPr>
            </w:pPr>
            <w:r w:rsidRPr="0061024A">
              <w:rPr>
                <w:sz w:val="24"/>
                <w:szCs w:val="24"/>
              </w:rPr>
              <w:t>Негативний вплив на безперервне та стійке функціонування іншого об’єкта інфраструктури, що забезпечує надання таких самих основних послуг</w:t>
            </w:r>
          </w:p>
        </w:tc>
        <w:tc>
          <w:tcPr>
            <w:tcW w:w="2433"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матиме негативний вплив (якщо так, вкажіть який)</w:t>
            </w:r>
          </w:p>
        </w:tc>
        <w:tc>
          <w:tcPr>
            <w:tcW w:w="22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ind w:firstLine="0"/>
              <w:jc w:val="left"/>
              <w:rPr>
                <w:rFonts w:eastAsia="Calibri"/>
                <w:sz w:val="24"/>
                <w:szCs w:val="24"/>
                <w:lang w:eastAsia="lt-LT"/>
              </w:rPr>
            </w:pPr>
          </w:p>
        </w:tc>
        <w:tc>
          <w:tcPr>
            <w:tcW w:w="2267"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ind w:firstLine="0"/>
              <w:jc w:val="left"/>
              <w:rPr>
                <w:rFonts w:ascii="Calibri" w:hAnsi="Calibri"/>
                <w:sz w:val="20"/>
                <w:szCs w:val="20"/>
                <w:lang w:eastAsia="ru-RU"/>
              </w:rPr>
            </w:pPr>
          </w:p>
        </w:tc>
        <w:tc>
          <w:tcPr>
            <w:tcW w:w="1982"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ind w:firstLine="0"/>
              <w:jc w:val="left"/>
              <w:rPr>
                <w:rFonts w:eastAsia="Calibri"/>
                <w:bCs/>
                <w:sz w:val="24"/>
                <w:szCs w:val="24"/>
                <w:lang w:eastAsia="ru-RU"/>
              </w:rPr>
            </w:pPr>
            <w:r w:rsidRPr="0061024A">
              <w:rPr>
                <w:sz w:val="24"/>
                <w:szCs w:val="24"/>
              </w:rPr>
              <w:t>не матиме впливу</w:t>
            </w:r>
          </w:p>
        </w:tc>
        <w:tc>
          <w:tcPr>
            <w:tcW w:w="1844" w:type="dxa"/>
            <w:tcBorders>
              <w:top w:val="single" w:sz="4" w:space="0" w:color="000000"/>
              <w:left w:val="single" w:sz="4" w:space="0" w:color="000000"/>
              <w:bottom w:val="single" w:sz="4" w:space="0" w:color="000000"/>
              <w:right w:val="single" w:sz="4" w:space="0" w:color="000000"/>
            </w:tcBorders>
            <w:shd w:val="pct15" w:color="auto" w:fill="auto"/>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sz w:val="24"/>
                <w:szCs w:val="24"/>
              </w:rPr>
              <w:t>не критично</w:t>
            </w:r>
          </w:p>
        </w:tc>
        <w:tc>
          <w:tcPr>
            <w:tcW w:w="1023" w:type="dxa"/>
            <w:tcBorders>
              <w:top w:val="single" w:sz="4" w:space="0" w:color="000000"/>
              <w:left w:val="single" w:sz="4" w:space="0" w:color="000000"/>
              <w:bottom w:val="single" w:sz="4" w:space="0" w:color="000000"/>
              <w:right w:val="single" w:sz="4" w:space="0" w:color="000000"/>
            </w:tcBorders>
          </w:tcPr>
          <w:p w:rsidR="00BE6DCB" w:rsidRPr="0061024A" w:rsidRDefault="009B31E9" w:rsidP="00874798">
            <w:pPr>
              <w:keepNext/>
              <w:keepLines/>
              <w:tabs>
                <w:tab w:val="left" w:pos="203"/>
                <w:tab w:val="left" w:pos="1134"/>
              </w:tabs>
              <w:ind w:firstLine="0"/>
              <w:jc w:val="left"/>
              <w:rPr>
                <w:rFonts w:eastAsia="Calibri"/>
                <w:sz w:val="24"/>
                <w:szCs w:val="24"/>
                <w:lang w:eastAsia="lt-LT"/>
              </w:rPr>
            </w:pPr>
            <m:oMath>
              <m:sSub>
                <m:sSubPr>
                  <m:ctrlPr>
                    <w:rPr>
                      <w:rFonts w:ascii="Cambria Math" w:hAnsi="Cambria Math"/>
                    </w:rPr>
                  </m:ctrlPr>
                </m:sSubPr>
                <m:e>
                  <m:r>
                    <w:rPr>
                      <w:rFonts w:ascii="Cambria Math" w:hAnsi="Cambria Math"/>
                    </w:rPr>
                    <m:t>PK</m:t>
                  </m:r>
                </m:e>
                <m:sub>
                  <m:r>
                    <w:rPr>
                      <w:rFonts w:ascii="Cambria Math" w:hAnsi="Cambria Math"/>
                    </w:rPr>
                    <m:t>12</m:t>
                  </m:r>
                </m:sub>
              </m:sSub>
            </m:oMath>
            <w:r w:rsidR="00BE6DCB" w:rsidRPr="0061024A">
              <w:rPr>
                <w:sz w:val="24"/>
                <w:szCs w:val="24"/>
              </w:rPr>
              <w:t>=0</w:t>
            </w:r>
          </w:p>
        </w:tc>
      </w:tr>
      <w:tr w:rsidR="00BE6DCB" w:rsidRPr="0061024A" w:rsidTr="00874798">
        <w:trPr>
          <w:trHeight w:val="385"/>
        </w:trPr>
        <w:tc>
          <w:tcPr>
            <w:tcW w:w="5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sz w:val="24"/>
                <w:szCs w:val="24"/>
                <w:lang w:eastAsia="lt-LT"/>
              </w:rPr>
            </w:pPr>
            <w:r w:rsidRPr="0061024A">
              <w:rPr>
                <w:rFonts w:eastAsia="Calibri"/>
                <w:sz w:val="24"/>
                <w:szCs w:val="24"/>
                <w:lang w:eastAsia="lt-LT"/>
              </w:rPr>
              <w:t>10.</w:t>
            </w:r>
          </w:p>
        </w:tc>
        <w:tc>
          <w:tcPr>
            <w:tcW w:w="2641" w:type="dxa"/>
            <w:gridSpan w:val="2"/>
            <w:tcBorders>
              <w:top w:val="single" w:sz="4" w:space="0" w:color="000000"/>
              <w:left w:val="single" w:sz="4" w:space="0" w:color="000000"/>
              <w:bottom w:val="single" w:sz="4" w:space="0" w:color="000000"/>
              <w:right w:val="single" w:sz="18" w:space="0" w:color="000000"/>
            </w:tcBorders>
          </w:tcPr>
          <w:p w:rsidR="00BE6DCB" w:rsidRPr="0061024A" w:rsidRDefault="00BE6DCB" w:rsidP="00874798">
            <w:pPr>
              <w:widowControl w:val="0"/>
              <w:tabs>
                <w:tab w:val="left" w:pos="203"/>
                <w:tab w:val="left" w:pos="1134"/>
              </w:tabs>
              <w:ind w:firstLine="0"/>
              <w:jc w:val="left"/>
              <w:rPr>
                <w:rFonts w:eastAsia="Calibri"/>
                <w:sz w:val="24"/>
                <w:szCs w:val="24"/>
                <w:lang w:eastAsia="lt-LT"/>
              </w:rPr>
            </w:pPr>
            <w:r w:rsidRPr="0061024A">
              <w:rPr>
                <w:sz w:val="24"/>
                <w:szCs w:val="24"/>
              </w:rPr>
              <w:t>Негативний вплив на безперервне та стійке функціонування іншого об’єкта інфраструктури, що надає інші основні послуги</w:t>
            </w:r>
          </w:p>
        </w:tc>
        <w:tc>
          <w:tcPr>
            <w:tcW w:w="2433" w:type="dxa"/>
            <w:tcBorders>
              <w:top w:val="single" w:sz="18" w:space="0" w:color="000000"/>
              <w:left w:val="single" w:sz="18" w:space="0" w:color="000000"/>
              <w:bottom w:val="single" w:sz="4" w:space="0" w:color="000000"/>
              <w:right w:val="single" w:sz="18" w:space="0" w:color="000000"/>
            </w:tcBorders>
            <w:shd w:val="clear" w:color="auto" w:fill="D9D9D9"/>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матиме негативний вплив (якщо так, вкажіть який)</w:t>
            </w:r>
          </w:p>
        </w:tc>
        <w:tc>
          <w:tcPr>
            <w:tcW w:w="2268" w:type="dxa"/>
            <w:tcBorders>
              <w:top w:val="single" w:sz="4" w:space="0" w:color="000000"/>
              <w:left w:val="single" w:sz="18" w:space="0" w:color="000000"/>
              <w:bottom w:val="single" w:sz="4" w:space="0" w:color="000000"/>
              <w:right w:val="single" w:sz="4" w:space="0" w:color="000000"/>
            </w:tcBorders>
          </w:tcPr>
          <w:p w:rsidR="00BE6DCB" w:rsidRPr="0061024A" w:rsidRDefault="00BE6DCB" w:rsidP="00874798">
            <w:pPr>
              <w:ind w:firstLine="0"/>
              <w:jc w:val="left"/>
              <w:rPr>
                <w:rFonts w:eastAsia="Calibri"/>
                <w:sz w:val="24"/>
                <w:szCs w:val="24"/>
                <w:lang w:eastAsia="lt-LT"/>
              </w:rPr>
            </w:pPr>
          </w:p>
        </w:tc>
        <w:tc>
          <w:tcPr>
            <w:tcW w:w="2267"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ind w:firstLine="0"/>
              <w:jc w:val="left"/>
              <w:rPr>
                <w:rFonts w:ascii="Calibri" w:hAnsi="Calibri"/>
                <w:sz w:val="20"/>
                <w:szCs w:val="20"/>
                <w:lang w:eastAsia="ru-RU"/>
              </w:rPr>
            </w:pPr>
          </w:p>
        </w:tc>
        <w:tc>
          <w:tcPr>
            <w:tcW w:w="1982"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ind w:firstLine="0"/>
              <w:jc w:val="left"/>
              <w:rPr>
                <w:rFonts w:eastAsia="Calibri"/>
                <w:bCs/>
                <w:sz w:val="24"/>
                <w:szCs w:val="24"/>
                <w:lang w:eastAsia="ru-RU"/>
              </w:rPr>
            </w:pPr>
            <w:r w:rsidRPr="0061024A">
              <w:rPr>
                <w:sz w:val="24"/>
                <w:szCs w:val="24"/>
              </w:rPr>
              <w:t>не матиме впливу</w:t>
            </w:r>
          </w:p>
        </w:tc>
        <w:tc>
          <w:tcPr>
            <w:tcW w:w="1844"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sz w:val="24"/>
                <w:szCs w:val="24"/>
              </w:rPr>
              <w:t>не критично</w:t>
            </w:r>
          </w:p>
        </w:tc>
        <w:tc>
          <w:tcPr>
            <w:tcW w:w="1023" w:type="dxa"/>
            <w:tcBorders>
              <w:top w:val="single" w:sz="4" w:space="0" w:color="000000"/>
              <w:left w:val="single" w:sz="4" w:space="0" w:color="000000"/>
              <w:bottom w:val="single" w:sz="4" w:space="0" w:color="000000"/>
              <w:right w:val="single" w:sz="4" w:space="0" w:color="000000"/>
            </w:tcBorders>
          </w:tcPr>
          <w:p w:rsidR="00BE6DCB" w:rsidRPr="0061024A" w:rsidRDefault="009B31E9" w:rsidP="00874798">
            <w:pPr>
              <w:keepNext/>
              <w:keepLines/>
              <w:tabs>
                <w:tab w:val="left" w:pos="203"/>
                <w:tab w:val="left" w:pos="1134"/>
              </w:tabs>
              <w:ind w:firstLine="0"/>
              <w:jc w:val="left"/>
              <w:rPr>
                <w:rFonts w:eastAsia="Calibri"/>
                <w:sz w:val="24"/>
                <w:szCs w:val="24"/>
                <w:lang w:eastAsia="lt-LT"/>
              </w:rPr>
            </w:pPr>
            <m:oMath>
              <m:sSub>
                <m:sSubPr>
                  <m:ctrlPr>
                    <w:rPr>
                      <w:rFonts w:ascii="Cambria Math" w:hAnsi="Cambria Math"/>
                    </w:rPr>
                  </m:ctrlPr>
                </m:sSubPr>
                <m:e>
                  <m:r>
                    <w:rPr>
                      <w:rFonts w:ascii="Cambria Math" w:hAnsi="Cambria Math"/>
                    </w:rPr>
                    <m:t>PK</m:t>
                  </m:r>
                </m:e>
                <m:sub>
                  <m:r>
                    <w:rPr>
                      <w:rFonts w:ascii="Cambria Math" w:hAnsi="Cambria Math"/>
                    </w:rPr>
                    <m:t>13</m:t>
                  </m:r>
                </m:sub>
              </m:sSub>
            </m:oMath>
            <w:r w:rsidR="00BE6DCB" w:rsidRPr="0061024A">
              <w:rPr>
                <w:sz w:val="24"/>
                <w:szCs w:val="24"/>
              </w:rPr>
              <w:t>=4</w:t>
            </w:r>
          </w:p>
        </w:tc>
      </w:tr>
      <w:tr w:rsidR="00BE6DCB" w:rsidRPr="0061024A" w:rsidTr="00874798">
        <w:trPr>
          <w:trHeight w:val="561"/>
        </w:trPr>
        <w:tc>
          <w:tcPr>
            <w:tcW w:w="15026" w:type="dxa"/>
            <w:gridSpan w:val="9"/>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b/>
                <w:sz w:val="24"/>
                <w:szCs w:val="24"/>
                <w:lang w:eastAsia="lt-LT"/>
              </w:rPr>
            </w:pPr>
            <w:r w:rsidRPr="0061024A">
              <w:rPr>
                <w:rFonts w:eastAsia="Calibri"/>
                <w:b/>
                <w:sz w:val="24"/>
                <w:szCs w:val="24"/>
                <w:lang w:eastAsia="lt-LT"/>
              </w:rPr>
              <w:t>V. Значущість об’єкта критичної інфраструктури для забезпечення оборони країни та безпеки держави</w:t>
            </w:r>
          </w:p>
        </w:tc>
      </w:tr>
      <w:tr w:rsidR="00BE6DCB" w:rsidRPr="0061024A" w:rsidTr="00874798">
        <w:trPr>
          <w:trHeight w:val="6232"/>
        </w:trPr>
        <w:tc>
          <w:tcPr>
            <w:tcW w:w="5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bCs/>
                <w:sz w:val="24"/>
                <w:szCs w:val="24"/>
                <w:lang w:eastAsia="lt-LT"/>
              </w:rPr>
            </w:pPr>
            <w:r w:rsidRPr="0061024A">
              <w:rPr>
                <w:rFonts w:eastAsia="Calibri"/>
                <w:sz w:val="24"/>
                <w:szCs w:val="24"/>
                <w:lang w:eastAsia="lt-LT"/>
              </w:rPr>
              <w:lastRenderedPageBreak/>
              <w:t>11.</w:t>
            </w:r>
          </w:p>
        </w:tc>
        <w:tc>
          <w:tcPr>
            <w:tcW w:w="2641" w:type="dxa"/>
            <w:gridSpan w:val="2"/>
            <w:tcBorders>
              <w:top w:val="single" w:sz="4" w:space="0" w:color="000000"/>
              <w:left w:val="single" w:sz="4" w:space="0" w:color="000000"/>
              <w:bottom w:val="single" w:sz="4" w:space="0" w:color="000000"/>
              <w:right w:val="single" w:sz="4" w:space="0" w:color="000000"/>
            </w:tcBorders>
          </w:tcPr>
          <w:p w:rsidR="00BE6DCB" w:rsidRPr="0061024A" w:rsidRDefault="00BE6DCB" w:rsidP="00BE6DCB">
            <w:pPr>
              <w:widowControl w:val="0"/>
              <w:tabs>
                <w:tab w:val="left" w:pos="203"/>
                <w:tab w:val="left" w:pos="1134"/>
              </w:tabs>
              <w:ind w:firstLine="0"/>
              <w:jc w:val="left"/>
              <w:rPr>
                <w:rFonts w:eastAsia="Calibri"/>
                <w:sz w:val="24"/>
                <w:szCs w:val="24"/>
                <w:lang w:eastAsia="lt-LT"/>
              </w:rPr>
            </w:pPr>
            <w:r w:rsidRPr="0061024A">
              <w:rPr>
                <w:sz w:val="24"/>
                <w:szCs w:val="24"/>
              </w:rPr>
              <w:t xml:space="preserve">Припинення або порушення (невиконання встановлених показників) функціонування пунктів управління (ситуаційного центру), що </w:t>
            </w:r>
            <w:r w:rsidRPr="00BE6DCB">
              <w:rPr>
                <w:sz w:val="24"/>
                <w:szCs w:val="24"/>
              </w:rPr>
              <w:t>оцінюється на рівні</w:t>
            </w:r>
            <w:r w:rsidRPr="0061024A">
              <w:rPr>
                <w:sz w:val="24"/>
                <w:szCs w:val="24"/>
              </w:rPr>
              <w:t xml:space="preserve"> (значущості) пункту управління або ситуаційного центру</w:t>
            </w:r>
          </w:p>
        </w:tc>
        <w:tc>
          <w:tcPr>
            <w:tcW w:w="2433"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припинення або порушення функціонування пунктів управління Верховного Головнокомандувача Збройних Сил, Головнокомандувача Збройних Сил, Начальника Генерального штабу Збройних Сил або ситуаційного центру Офісу Президента України, Кабінету Міністрів України, Ради національної безпеки та оборони України</w:t>
            </w:r>
          </w:p>
        </w:tc>
        <w:tc>
          <w:tcPr>
            <w:tcW w:w="22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s>
              <w:ind w:firstLine="0"/>
              <w:jc w:val="left"/>
              <w:rPr>
                <w:rFonts w:eastAsia="Calibri"/>
                <w:sz w:val="24"/>
                <w:szCs w:val="24"/>
                <w:lang w:eastAsia="lt-LT"/>
              </w:rPr>
            </w:pPr>
            <w:r w:rsidRPr="0061024A">
              <w:rPr>
                <w:sz w:val="24"/>
                <w:szCs w:val="24"/>
              </w:rPr>
              <w:t xml:space="preserve">припинення або порушення функціонування пунктів управління або ситуаційного центру центральних органів виконавчої влади, пунктів управління Сухопутних військ, Повітряних Сил, Військово-Морських Сил, десантно-штурмових військ, сил спеціальних операцій, Національної гвардії, </w:t>
            </w:r>
            <w:proofErr w:type="spellStart"/>
            <w:r w:rsidRPr="0061024A">
              <w:rPr>
                <w:sz w:val="24"/>
                <w:szCs w:val="24"/>
              </w:rPr>
              <w:t>Держприкордон</w:t>
            </w:r>
            <w:proofErr w:type="spellEnd"/>
            <w:r w:rsidRPr="0061024A">
              <w:rPr>
                <w:sz w:val="24"/>
                <w:szCs w:val="24"/>
              </w:rPr>
              <w:t>- служби</w:t>
            </w:r>
          </w:p>
        </w:tc>
        <w:tc>
          <w:tcPr>
            <w:tcW w:w="2267"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 xml:space="preserve">припинення або порушення функціонування обласної державної адміністрації, ситуаційних центрів </w:t>
            </w:r>
          </w:p>
        </w:tc>
        <w:tc>
          <w:tcPr>
            <w:tcW w:w="1982"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ind w:firstLine="0"/>
              <w:jc w:val="left"/>
              <w:rPr>
                <w:rFonts w:eastAsia="Calibri"/>
                <w:sz w:val="24"/>
                <w:szCs w:val="24"/>
                <w:lang w:eastAsia="lt-LT"/>
              </w:rPr>
            </w:pPr>
            <w:r>
              <w:rPr>
                <w:noProof/>
                <w:lang w:eastAsia="uk-UA"/>
              </w:rPr>
              <mc:AlternateContent>
                <mc:Choice Requires="wps">
                  <w:drawing>
                    <wp:anchor distT="0" distB="0" distL="0" distR="0" simplePos="0" relativeHeight="251664384" behindDoc="1" locked="0" layoutInCell="1" allowOverlap="1" wp14:anchorId="6CA9A009" wp14:editId="426D7234">
                      <wp:simplePos x="0" y="0"/>
                      <wp:positionH relativeFrom="margin">
                        <wp:posOffset>952500</wp:posOffset>
                      </wp:positionH>
                      <wp:positionV relativeFrom="paragraph">
                        <wp:posOffset>-638175</wp:posOffset>
                      </wp:positionV>
                      <wp:extent cx="2088515" cy="351790"/>
                      <wp:effectExtent l="0" t="0" r="26035" b="1016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351790"/>
                              </a:xfrm>
                              <a:prstGeom prst="rect">
                                <a:avLst/>
                              </a:prstGeom>
                              <a:solidFill>
                                <a:srgbClr val="FFFFFF"/>
                              </a:solidFill>
                              <a:ln w="9360">
                                <a:solidFill>
                                  <a:srgbClr val="FFFFFF"/>
                                </a:solidFill>
                                <a:miter/>
                              </a:ln>
                              <a:effectLst/>
                            </wps:spPr>
                            <wps:txbx>
                              <w:txbxContent>
                                <w:p w:rsidR="00BE6DCB" w:rsidRDefault="00BE6DCB" w:rsidP="00BE6DCB">
                                  <w:pPr>
                                    <w:ind w:firstLine="0"/>
                                  </w:pPr>
                                  <w:r>
                                    <w:t>Продовження додатка 1</w:t>
                                  </w: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6CA9A009" id="Прямоугольник 72" o:spid="_x0000_s1034" style="position:absolute;margin-left:75pt;margin-top:-50.25pt;width:164.45pt;height:27.7pt;z-index:-251652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" strokecolor="white" strokeweight=".26mm">
                      <v:path arrowok="t"/>
                      <v:textbox>
                        <w:txbxContent>
                          <w:p w:rsidR="00BE6DCB" w:rsidRDefault="00BE6DCB" w:rsidP="00BE6DCB">
                            <w:pPr>
                              <w:ind w:firstLine="0"/>
                            </w:pPr>
                            <w:r>
                              <w:t>Продовження додатка 1</w:t>
                            </w:r>
                          </w:p>
                        </w:txbxContent>
                      </v:textbox>
                      <w10:wrap anchorx="margin"/>
                    </v:rect>
                  </w:pict>
                </mc:Fallback>
              </mc:AlternateContent>
            </w:r>
            <w:r w:rsidRPr="0061024A">
              <w:rPr>
                <w:sz w:val="24"/>
                <w:szCs w:val="24"/>
              </w:rPr>
              <w:t>територіальних органів центральних органів виконавчої влади</w:t>
            </w:r>
          </w:p>
        </w:tc>
        <w:tc>
          <w:tcPr>
            <w:tcW w:w="1844" w:type="dxa"/>
            <w:tcBorders>
              <w:top w:val="single" w:sz="4" w:space="0" w:color="000000"/>
              <w:left w:val="single" w:sz="4" w:space="0" w:color="000000"/>
              <w:bottom w:val="single" w:sz="4" w:space="0" w:color="000000"/>
              <w:right w:val="single" w:sz="4" w:space="0" w:color="000000"/>
            </w:tcBorders>
            <w:shd w:val="pct15" w:color="auto" w:fill="auto"/>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sz w:val="24"/>
                <w:szCs w:val="24"/>
              </w:rPr>
              <w:t>не критично</w:t>
            </w:r>
          </w:p>
        </w:tc>
        <w:tc>
          <w:tcPr>
            <w:tcW w:w="1023" w:type="dxa"/>
            <w:tcBorders>
              <w:top w:val="single" w:sz="4" w:space="0" w:color="000000"/>
              <w:left w:val="single" w:sz="4" w:space="0" w:color="000000"/>
              <w:bottom w:val="single" w:sz="4" w:space="0" w:color="000000"/>
              <w:right w:val="single" w:sz="4" w:space="0" w:color="000000"/>
            </w:tcBorders>
          </w:tcPr>
          <w:p w:rsidR="00BE6DCB" w:rsidRPr="0061024A" w:rsidRDefault="009B31E9" w:rsidP="00874798">
            <w:pPr>
              <w:keepNext/>
              <w:keepLines/>
              <w:tabs>
                <w:tab w:val="left" w:pos="203"/>
                <w:tab w:val="left" w:pos="1134"/>
              </w:tabs>
              <w:ind w:firstLine="0"/>
              <w:jc w:val="left"/>
              <w:rPr>
                <w:rFonts w:eastAsia="Calibri"/>
                <w:sz w:val="24"/>
                <w:szCs w:val="24"/>
                <w:lang w:eastAsia="lt-LT"/>
              </w:rPr>
            </w:pPr>
            <m:oMath>
              <m:sSub>
                <m:sSubPr>
                  <m:ctrlPr>
                    <w:rPr>
                      <w:rFonts w:ascii="Cambria Math" w:hAnsi="Cambria Math"/>
                    </w:rPr>
                  </m:ctrlPr>
                </m:sSubPr>
                <m:e>
                  <m:r>
                    <w:rPr>
                      <w:rFonts w:ascii="Cambria Math" w:hAnsi="Cambria Math"/>
                    </w:rPr>
                    <m:t>PK</m:t>
                  </m:r>
                </m:e>
                <m:sub>
                  <m:r>
                    <w:rPr>
                      <w:rFonts w:ascii="Cambria Math" w:hAnsi="Cambria Math"/>
                    </w:rPr>
                    <m:t>14</m:t>
                  </m:r>
                </m:sub>
              </m:sSub>
            </m:oMath>
            <w:r w:rsidR="00BE6DCB" w:rsidRPr="0061024A">
              <w:rPr>
                <w:sz w:val="24"/>
                <w:szCs w:val="24"/>
              </w:rPr>
              <w:t>=0</w:t>
            </w:r>
          </w:p>
        </w:tc>
      </w:tr>
      <w:tr w:rsidR="00BE6DCB" w:rsidRPr="0061024A" w:rsidTr="00874798">
        <w:trPr>
          <w:trHeight w:val="318"/>
        </w:trPr>
        <w:tc>
          <w:tcPr>
            <w:tcW w:w="568" w:type="dxa"/>
            <w:vMerge w:val="restart"/>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tabs>
                <w:tab w:val="left" w:pos="203"/>
                <w:tab w:val="left" w:pos="1134"/>
              </w:tabs>
              <w:ind w:firstLine="0"/>
              <w:jc w:val="center"/>
              <w:rPr>
                <w:rFonts w:eastAsia="Calibri"/>
                <w:sz w:val="24"/>
                <w:szCs w:val="24"/>
                <w:lang w:eastAsia="lt-LT"/>
              </w:rPr>
            </w:pPr>
            <w:r w:rsidRPr="0061024A">
              <w:rPr>
                <w:rFonts w:eastAsia="Calibri"/>
                <w:sz w:val="24"/>
                <w:szCs w:val="24"/>
                <w:lang w:eastAsia="lt-LT"/>
              </w:rPr>
              <w:t>12.</w:t>
            </w:r>
          </w:p>
        </w:tc>
        <w:tc>
          <w:tcPr>
            <w:tcW w:w="2641" w:type="dxa"/>
            <w:gridSpan w:val="2"/>
            <w:vMerge w:val="restart"/>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widowControl w:val="0"/>
              <w:tabs>
                <w:tab w:val="left" w:pos="203"/>
                <w:tab w:val="left" w:pos="1134"/>
              </w:tabs>
              <w:ind w:firstLine="0"/>
              <w:jc w:val="left"/>
              <w:rPr>
                <w:rFonts w:eastAsia="Calibri"/>
                <w:sz w:val="24"/>
                <w:szCs w:val="24"/>
                <w:lang w:eastAsia="lt-LT"/>
              </w:rPr>
            </w:pPr>
            <w:r w:rsidRPr="0061024A">
              <w:rPr>
                <w:rFonts w:eastAsia="Calibri"/>
                <w:sz w:val="24"/>
                <w:szCs w:val="24"/>
                <w:lang w:eastAsia="lt-LT"/>
              </w:rPr>
              <w:t xml:space="preserve">Зниження показників державного оборонного замовлення </w:t>
            </w:r>
          </w:p>
        </w:tc>
        <w:tc>
          <w:tcPr>
            <w:tcW w:w="11817" w:type="dxa"/>
            <w:gridSpan w:val="6"/>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rFonts w:eastAsia="Calibri"/>
                <w:sz w:val="24"/>
                <w:szCs w:val="24"/>
                <w:lang w:eastAsia="lt-LT"/>
              </w:rPr>
              <w:t>Зниження обсягів продукції (робіт, послуг) у заданий період часу (у відсотках)</w:t>
            </w:r>
          </w:p>
        </w:tc>
      </w:tr>
      <w:tr w:rsidR="00BE6DCB" w:rsidRPr="0061024A" w:rsidTr="00874798">
        <w:trPr>
          <w:trHeight w:val="404"/>
        </w:trPr>
        <w:tc>
          <w:tcPr>
            <w:tcW w:w="568"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2641" w:type="dxa"/>
            <w:gridSpan w:val="2"/>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2433"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 xml:space="preserve">більш як 15 відсотків </w:t>
            </w:r>
          </w:p>
        </w:tc>
        <w:tc>
          <w:tcPr>
            <w:tcW w:w="22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11127"/>
              </w:tabs>
              <w:ind w:firstLine="0"/>
              <w:jc w:val="left"/>
              <w:rPr>
                <w:rFonts w:eastAsia="Calibri"/>
                <w:sz w:val="24"/>
                <w:szCs w:val="24"/>
                <w:lang w:eastAsia="lt-LT"/>
              </w:rPr>
            </w:pPr>
            <w:r w:rsidRPr="0061024A">
              <w:rPr>
                <w:sz w:val="24"/>
                <w:szCs w:val="24"/>
              </w:rPr>
              <w:t>від 10 до</w:t>
            </w:r>
            <w:r w:rsidRPr="0061024A">
              <w:rPr>
                <w:sz w:val="24"/>
                <w:szCs w:val="24"/>
              </w:rPr>
              <w:br/>
              <w:t>15 відсотків</w:t>
            </w:r>
          </w:p>
        </w:tc>
        <w:tc>
          <w:tcPr>
            <w:tcW w:w="2267"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 xml:space="preserve">від 5 до </w:t>
            </w:r>
            <w:r w:rsidRPr="0061024A">
              <w:rPr>
                <w:sz w:val="24"/>
                <w:szCs w:val="24"/>
              </w:rPr>
              <w:br/>
              <w:t>10 відсотків</w:t>
            </w:r>
          </w:p>
        </w:tc>
        <w:tc>
          <w:tcPr>
            <w:tcW w:w="1982" w:type="dxa"/>
            <w:tcBorders>
              <w:top w:val="single" w:sz="4" w:space="0" w:color="000000"/>
              <w:left w:val="single" w:sz="4" w:space="0" w:color="000000"/>
              <w:bottom w:val="single" w:sz="4" w:space="0" w:color="000000"/>
              <w:right w:val="single" w:sz="18"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 xml:space="preserve">менш як </w:t>
            </w:r>
            <w:r w:rsidRPr="0061024A">
              <w:rPr>
                <w:sz w:val="24"/>
                <w:szCs w:val="24"/>
              </w:rPr>
              <w:br/>
              <w:t>5 відсотків</w:t>
            </w:r>
          </w:p>
        </w:tc>
        <w:tc>
          <w:tcPr>
            <w:tcW w:w="1844" w:type="dxa"/>
            <w:tcBorders>
              <w:top w:val="single" w:sz="18" w:space="0" w:color="000000"/>
              <w:left w:val="single" w:sz="18" w:space="0" w:color="000000"/>
              <w:bottom w:val="single" w:sz="18" w:space="0" w:color="000000"/>
              <w:right w:val="single" w:sz="18" w:space="0" w:color="000000"/>
            </w:tcBorders>
            <w:shd w:val="clear" w:color="auto" w:fill="D9D9D9"/>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sz w:val="24"/>
                <w:szCs w:val="24"/>
              </w:rPr>
              <w:t>не критично</w:t>
            </w:r>
          </w:p>
        </w:tc>
        <w:tc>
          <w:tcPr>
            <w:tcW w:w="1023" w:type="dxa"/>
            <w:tcBorders>
              <w:top w:val="single" w:sz="4" w:space="0" w:color="000000"/>
              <w:left w:val="single" w:sz="18" w:space="0" w:color="000000"/>
              <w:bottom w:val="single" w:sz="4" w:space="0" w:color="000000"/>
              <w:right w:val="single" w:sz="4" w:space="0" w:color="000000"/>
            </w:tcBorders>
          </w:tcPr>
          <w:p w:rsidR="00BE6DCB" w:rsidRPr="0061024A" w:rsidRDefault="009B31E9" w:rsidP="00874798">
            <w:pPr>
              <w:keepNext/>
              <w:keepLines/>
              <w:tabs>
                <w:tab w:val="left" w:pos="203"/>
                <w:tab w:val="left" w:pos="1134"/>
              </w:tabs>
              <w:ind w:firstLine="0"/>
              <w:jc w:val="left"/>
              <w:rPr>
                <w:rFonts w:eastAsia="Calibri"/>
                <w:sz w:val="24"/>
                <w:szCs w:val="24"/>
                <w:lang w:eastAsia="lt-LT"/>
              </w:rPr>
            </w:pPr>
            <m:oMath>
              <m:sSub>
                <m:sSubPr>
                  <m:ctrlPr>
                    <w:rPr>
                      <w:rFonts w:ascii="Cambria Math" w:hAnsi="Cambria Math"/>
                    </w:rPr>
                  </m:ctrlPr>
                </m:sSubPr>
                <m:e>
                  <m:r>
                    <w:rPr>
                      <w:rFonts w:ascii="Cambria Math" w:hAnsi="Cambria Math"/>
                    </w:rPr>
                    <m:t>PK</m:t>
                  </m:r>
                </m:e>
                <m:sub>
                  <m:r>
                    <w:rPr>
                      <w:rFonts w:ascii="Cambria Math" w:hAnsi="Cambria Math"/>
                    </w:rPr>
                    <m:t>15</m:t>
                  </m:r>
                </m:sub>
              </m:sSub>
            </m:oMath>
            <w:r w:rsidR="00BE6DCB" w:rsidRPr="0061024A">
              <w:rPr>
                <w:sz w:val="24"/>
                <w:szCs w:val="24"/>
              </w:rPr>
              <w:t>=0</w:t>
            </w:r>
          </w:p>
        </w:tc>
      </w:tr>
      <w:tr w:rsidR="00BE6DCB" w:rsidRPr="0061024A" w:rsidTr="00874798">
        <w:trPr>
          <w:trHeight w:val="222"/>
        </w:trPr>
        <w:tc>
          <w:tcPr>
            <w:tcW w:w="568"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2641" w:type="dxa"/>
            <w:gridSpan w:val="2"/>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11817" w:type="dxa"/>
            <w:gridSpan w:val="6"/>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rFonts w:eastAsia="Calibri"/>
                <w:sz w:val="24"/>
                <w:szCs w:val="24"/>
                <w:lang w:eastAsia="lt-LT"/>
              </w:rPr>
              <w:t>Збільшення часу виготовлення продукції (робіт, послуг) із заданим обсягом (відсотків встановленого часу на виготовлення продукції)</w:t>
            </w:r>
          </w:p>
        </w:tc>
      </w:tr>
      <w:tr w:rsidR="00BE6DCB" w:rsidRPr="0061024A" w:rsidTr="00874798">
        <w:trPr>
          <w:trHeight w:val="390"/>
        </w:trPr>
        <w:tc>
          <w:tcPr>
            <w:tcW w:w="568" w:type="dxa"/>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2641" w:type="dxa"/>
            <w:gridSpan w:val="2"/>
            <w:vMerge/>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ind w:firstLine="0"/>
              <w:jc w:val="left"/>
              <w:rPr>
                <w:rFonts w:eastAsia="Calibri"/>
                <w:sz w:val="24"/>
                <w:szCs w:val="24"/>
                <w:lang w:eastAsia="lt-LT"/>
              </w:rPr>
            </w:pPr>
          </w:p>
        </w:tc>
        <w:tc>
          <w:tcPr>
            <w:tcW w:w="2433"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більш як 40 відсотків</w:t>
            </w:r>
          </w:p>
        </w:tc>
        <w:tc>
          <w:tcPr>
            <w:tcW w:w="2268"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s>
              <w:ind w:firstLine="0"/>
              <w:jc w:val="left"/>
              <w:rPr>
                <w:rFonts w:eastAsia="Calibri"/>
                <w:sz w:val="24"/>
                <w:szCs w:val="24"/>
                <w:lang w:eastAsia="lt-LT"/>
              </w:rPr>
            </w:pPr>
            <w:r w:rsidRPr="0061024A">
              <w:rPr>
                <w:sz w:val="24"/>
                <w:szCs w:val="24"/>
              </w:rPr>
              <w:t xml:space="preserve">від 10 до </w:t>
            </w:r>
            <w:r w:rsidRPr="0061024A">
              <w:rPr>
                <w:sz w:val="24"/>
                <w:szCs w:val="24"/>
              </w:rPr>
              <w:br/>
              <w:t>40 відсотків</w:t>
            </w:r>
          </w:p>
        </w:tc>
        <w:tc>
          <w:tcPr>
            <w:tcW w:w="2267"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 xml:space="preserve">від 5 до </w:t>
            </w:r>
            <w:r w:rsidRPr="0061024A">
              <w:rPr>
                <w:sz w:val="24"/>
                <w:szCs w:val="24"/>
              </w:rPr>
              <w:br/>
              <w:t>10 відсотків</w:t>
            </w:r>
          </w:p>
        </w:tc>
        <w:tc>
          <w:tcPr>
            <w:tcW w:w="1982" w:type="dxa"/>
            <w:tcBorders>
              <w:top w:val="single" w:sz="4" w:space="0" w:color="000000"/>
              <w:left w:val="single" w:sz="4" w:space="0" w:color="000000"/>
              <w:bottom w:val="single" w:sz="4" w:space="0" w:color="000000"/>
              <w:right w:val="single" w:sz="18"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sz w:val="24"/>
                <w:szCs w:val="24"/>
              </w:rPr>
              <w:t xml:space="preserve">менш як </w:t>
            </w:r>
            <w:r w:rsidRPr="0061024A">
              <w:rPr>
                <w:sz w:val="24"/>
                <w:szCs w:val="24"/>
              </w:rPr>
              <w:br/>
              <w:t>5 відсотків</w:t>
            </w:r>
          </w:p>
        </w:tc>
        <w:tc>
          <w:tcPr>
            <w:tcW w:w="1844" w:type="dxa"/>
            <w:tcBorders>
              <w:top w:val="single" w:sz="18" w:space="0" w:color="000000"/>
              <w:left w:val="single" w:sz="18" w:space="0" w:color="000000"/>
              <w:bottom w:val="single" w:sz="18" w:space="0" w:color="000000"/>
              <w:right w:val="single" w:sz="18" w:space="0" w:color="000000"/>
            </w:tcBorders>
            <w:shd w:val="clear" w:color="auto" w:fill="D9D9D9"/>
          </w:tcPr>
          <w:p w:rsidR="00BE6DCB" w:rsidRPr="0061024A" w:rsidRDefault="00BE6DCB" w:rsidP="00874798">
            <w:pPr>
              <w:keepNext/>
              <w:keepLines/>
              <w:tabs>
                <w:tab w:val="left" w:pos="203"/>
                <w:tab w:val="left" w:pos="1134"/>
              </w:tabs>
              <w:ind w:firstLine="0"/>
              <w:jc w:val="center"/>
              <w:rPr>
                <w:rFonts w:eastAsia="Calibri"/>
                <w:sz w:val="24"/>
                <w:szCs w:val="24"/>
                <w:lang w:eastAsia="lt-LT"/>
              </w:rPr>
            </w:pPr>
            <w:r w:rsidRPr="0061024A">
              <w:rPr>
                <w:sz w:val="24"/>
                <w:szCs w:val="24"/>
              </w:rPr>
              <w:t>не критично</w:t>
            </w:r>
          </w:p>
        </w:tc>
        <w:tc>
          <w:tcPr>
            <w:tcW w:w="1023" w:type="dxa"/>
            <w:tcBorders>
              <w:top w:val="single" w:sz="4" w:space="0" w:color="000000"/>
              <w:left w:val="single" w:sz="18" w:space="0" w:color="000000"/>
              <w:bottom w:val="single" w:sz="4" w:space="0" w:color="000000"/>
              <w:right w:val="single" w:sz="4" w:space="0" w:color="000000"/>
            </w:tcBorders>
          </w:tcPr>
          <w:p w:rsidR="00BE6DCB" w:rsidRPr="0061024A" w:rsidRDefault="009B31E9" w:rsidP="00874798">
            <w:pPr>
              <w:keepNext/>
              <w:keepLines/>
              <w:tabs>
                <w:tab w:val="left" w:pos="203"/>
                <w:tab w:val="left" w:pos="1134"/>
              </w:tabs>
              <w:ind w:firstLine="0"/>
              <w:jc w:val="left"/>
              <w:rPr>
                <w:rFonts w:eastAsia="Calibri"/>
                <w:sz w:val="24"/>
                <w:szCs w:val="24"/>
                <w:lang w:eastAsia="lt-LT"/>
              </w:rPr>
            </w:pPr>
            <m:oMath>
              <m:sSub>
                <m:sSubPr>
                  <m:ctrlPr>
                    <w:rPr>
                      <w:rFonts w:ascii="Cambria Math" w:hAnsi="Cambria Math"/>
                    </w:rPr>
                  </m:ctrlPr>
                </m:sSubPr>
                <m:e>
                  <m:r>
                    <w:rPr>
                      <w:rFonts w:ascii="Cambria Math" w:hAnsi="Cambria Math"/>
                    </w:rPr>
                    <m:t>PK</m:t>
                  </m:r>
                </m:e>
                <m:sub>
                  <m:r>
                    <w:rPr>
                      <w:rFonts w:ascii="Cambria Math" w:hAnsi="Cambria Math"/>
                    </w:rPr>
                    <m:t>16</m:t>
                  </m:r>
                </m:sub>
              </m:sSub>
            </m:oMath>
            <w:r w:rsidR="00BE6DCB" w:rsidRPr="0061024A">
              <w:rPr>
                <w:sz w:val="24"/>
                <w:szCs w:val="24"/>
              </w:rPr>
              <w:t>=0</w:t>
            </w:r>
          </w:p>
        </w:tc>
      </w:tr>
      <w:tr w:rsidR="00BE6DCB" w:rsidRPr="0061024A" w:rsidTr="00874798">
        <w:trPr>
          <w:trHeight w:val="230"/>
        </w:trPr>
        <w:tc>
          <w:tcPr>
            <w:tcW w:w="14003" w:type="dxa"/>
            <w:gridSpan w:val="8"/>
            <w:tcBorders>
              <w:top w:val="single" w:sz="4" w:space="0" w:color="000000"/>
              <w:left w:val="single" w:sz="4" w:space="0" w:color="000000"/>
              <w:bottom w:val="single" w:sz="4" w:space="0" w:color="000000"/>
              <w:right w:val="single" w:sz="4" w:space="0" w:color="000000"/>
            </w:tcBorders>
            <w:vAlign w:val="center"/>
          </w:tcPr>
          <w:p w:rsidR="00BE6DCB" w:rsidRPr="0061024A" w:rsidRDefault="00BE6DCB" w:rsidP="00874798">
            <w:pPr>
              <w:keepNext/>
              <w:keepLines/>
              <w:tabs>
                <w:tab w:val="left" w:pos="203"/>
                <w:tab w:val="left" w:pos="1134"/>
              </w:tabs>
              <w:ind w:firstLine="0"/>
              <w:jc w:val="left"/>
              <w:rPr>
                <w:rFonts w:eastAsia="Calibri"/>
                <w:sz w:val="24"/>
                <w:szCs w:val="24"/>
                <w:lang w:eastAsia="lt-LT"/>
              </w:rPr>
            </w:pPr>
            <w:r w:rsidRPr="0061024A">
              <w:rPr>
                <w:rFonts w:eastAsia="Calibri"/>
                <w:b/>
                <w:sz w:val="24"/>
                <w:szCs w:val="24"/>
                <w:lang w:eastAsia="lt-LT"/>
              </w:rPr>
              <w:t>Сумарна оцінка</w:t>
            </w:r>
            <m:oMath>
              <m:sSub>
                <m:sSubPr>
                  <m:ctrlPr>
                    <w:rPr>
                      <w:rFonts w:ascii="Cambria Math" w:hAnsi="Cambria Math"/>
                    </w:rPr>
                  </m:ctrlPr>
                </m:sSubPr>
                <m:e>
                  <m:r>
                    <w:rPr>
                      <w:rFonts w:ascii="Cambria Math" w:hAnsi="Cambria Math"/>
                    </w:rPr>
                    <m:t>PK</m:t>
                  </m:r>
                </m:e>
                <m:sub>
                  <m:r>
                    <w:rPr>
                      <w:rFonts w:ascii="Cambria Math" w:hAnsi="Cambria Math"/>
                    </w:rPr>
                    <m:t>i</m:t>
                  </m:r>
                </m:sub>
              </m:sSub>
            </m:oMath>
          </w:p>
        </w:tc>
        <w:tc>
          <w:tcPr>
            <w:tcW w:w="1023" w:type="dxa"/>
            <w:tcBorders>
              <w:top w:val="single" w:sz="4" w:space="0" w:color="000000"/>
              <w:left w:val="single" w:sz="4" w:space="0" w:color="000000"/>
              <w:bottom w:val="single" w:sz="4" w:space="0" w:color="000000"/>
              <w:right w:val="single" w:sz="4" w:space="0" w:color="000000"/>
            </w:tcBorders>
          </w:tcPr>
          <w:p w:rsidR="00BE6DCB" w:rsidRPr="0061024A" w:rsidRDefault="00BE6DCB" w:rsidP="00874798">
            <w:pPr>
              <w:keepNext/>
              <w:keepLines/>
              <w:tabs>
                <w:tab w:val="left" w:pos="203"/>
                <w:tab w:val="left" w:pos="1134"/>
              </w:tabs>
              <w:ind w:firstLine="0"/>
              <w:jc w:val="left"/>
              <w:rPr>
                <w:rFonts w:eastAsia="Calibri"/>
                <w:sz w:val="24"/>
                <w:szCs w:val="24"/>
                <w:lang w:eastAsia="lt-LT"/>
              </w:rPr>
            </w:pPr>
          </w:p>
        </w:tc>
      </w:tr>
    </w:tbl>
    <w:p w:rsidR="00BE6DCB" w:rsidRPr="0061024A" w:rsidRDefault="00BE6DCB" w:rsidP="00BE6DCB">
      <w:pPr>
        <w:tabs>
          <w:tab w:val="left" w:pos="-14884"/>
          <w:tab w:val="left" w:pos="1276"/>
        </w:tabs>
        <w:ind w:left="709" w:firstLine="0"/>
        <w:contextualSpacing/>
        <w:jc w:val="center"/>
        <w:rPr>
          <w:szCs w:val="28"/>
        </w:rPr>
      </w:pPr>
    </w:p>
    <w:p w:rsidR="00BE6DCB" w:rsidRPr="0061024A" w:rsidRDefault="00BE6DCB" w:rsidP="00BE6DCB">
      <w:pPr>
        <w:numPr>
          <w:ilvl w:val="0"/>
          <w:numId w:val="1"/>
        </w:numPr>
        <w:contextualSpacing/>
        <w:jc w:val="left"/>
        <w:rPr>
          <w:szCs w:val="28"/>
        </w:rPr>
      </w:pPr>
      <w:r>
        <w:rPr>
          <w:noProof/>
          <w:lang w:eastAsia="uk-UA"/>
        </w:rPr>
        <w:lastRenderedPageBreak/>
        <mc:AlternateContent>
          <mc:Choice Requires="wps">
            <w:drawing>
              <wp:anchor distT="0" distB="0" distL="0" distR="0" simplePos="0" relativeHeight="251665408" behindDoc="1" locked="0" layoutInCell="1" allowOverlap="1" wp14:anchorId="7BC31552" wp14:editId="0615E23B">
                <wp:simplePos x="0" y="0"/>
                <wp:positionH relativeFrom="margin">
                  <wp:posOffset>7206615</wp:posOffset>
                </wp:positionH>
                <wp:positionV relativeFrom="paragraph">
                  <wp:posOffset>-708660</wp:posOffset>
                </wp:positionV>
                <wp:extent cx="2088515" cy="351790"/>
                <wp:effectExtent l="0" t="0" r="26035" b="1016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351790"/>
                        </a:xfrm>
                        <a:prstGeom prst="rect">
                          <a:avLst/>
                        </a:prstGeom>
                        <a:solidFill>
                          <a:srgbClr val="FFFFFF"/>
                        </a:solidFill>
                        <a:ln w="9360">
                          <a:solidFill>
                            <a:srgbClr val="FFFFFF"/>
                          </a:solidFill>
                          <a:miter/>
                        </a:ln>
                        <a:effectLst/>
                      </wps:spPr>
                      <wps:txbx>
                        <w:txbxContent>
                          <w:p w:rsidR="00BE6DCB" w:rsidRDefault="00BE6DCB" w:rsidP="00BE6DCB">
                            <w:pPr>
                              <w:pStyle w:val="a6"/>
                              <w:ind w:firstLine="0"/>
                            </w:pPr>
                            <w:r>
                              <w:t>Продовження додатка 1</w:t>
                            </w:r>
                          </w:p>
                          <w:p w:rsidR="00BE6DCB" w:rsidRDefault="00BE6DCB" w:rsidP="00BE6DCB">
                            <w:pPr>
                              <w:pStyle w:val="a6"/>
                            </w:pPr>
                          </w:p>
                          <w:p w:rsidR="00BE6DCB" w:rsidRDefault="00BE6DCB" w:rsidP="00BE6DCB">
                            <w:pPr>
                              <w:pStyle w:val="a6"/>
                            </w:pPr>
                          </w:p>
                          <w:p w:rsidR="00BE6DCB" w:rsidRDefault="00BE6DCB" w:rsidP="00BE6DCB">
                            <w:pPr>
                              <w:pStyle w:val="a6"/>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BC31552" id="Прямоугольник 24" o:spid="_x0000_s1035" style="position:absolute;left:0;text-align:left;margin-left:567.45pt;margin-top:-55.8pt;width:164.45pt;height:27.7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" strokecolor="white" strokeweight=".26mm">
                <v:path arrowok="t"/>
                <v:textbox>
                  <w:txbxContent>
                    <w:p w:rsidR="00BE6DCB" w:rsidRDefault="00BE6DCB" w:rsidP="00BE6DCB">
                      <w:pPr>
                        <w:pStyle w:val="a6"/>
                        <w:ind w:firstLine="0"/>
                      </w:pPr>
                      <w:r>
                        <w:t>Продовження додатка 1</w:t>
                      </w:r>
                    </w:p>
                    <w:p w:rsidR="00BE6DCB" w:rsidRDefault="00BE6DCB" w:rsidP="00BE6DCB">
                      <w:pPr>
                        <w:pStyle w:val="a6"/>
                      </w:pPr>
                    </w:p>
                    <w:p w:rsidR="00BE6DCB" w:rsidRDefault="00BE6DCB" w:rsidP="00BE6DCB">
                      <w:pPr>
                        <w:pStyle w:val="a6"/>
                      </w:pPr>
                    </w:p>
                    <w:p w:rsidR="00BE6DCB" w:rsidRDefault="00BE6DCB" w:rsidP="00BE6DCB">
                      <w:pPr>
                        <w:pStyle w:val="a6"/>
                      </w:pPr>
                    </w:p>
                  </w:txbxContent>
                </v:textbox>
                <w10:wrap anchorx="margin"/>
              </v:rect>
            </w:pict>
          </mc:Fallback>
        </mc:AlternateContent>
      </w:r>
      <w:r w:rsidRPr="0061024A">
        <w:rPr>
          <w:szCs w:val="28"/>
        </w:rPr>
        <w:t xml:space="preserve"> Визначення категорії критичності.</w:t>
      </w:r>
    </w:p>
    <w:p w:rsidR="00BE6DCB" w:rsidRPr="0061024A" w:rsidRDefault="009B31E9" w:rsidP="00BE6DCB">
      <w:pPr>
        <w:ind w:left="709" w:firstLine="0"/>
        <w:jc w:val="left"/>
        <w:rPr>
          <w:szCs w:val="28"/>
        </w:rPr>
      </w:pPr>
      <m:oMath>
        <m:sSub>
          <m:sSubPr>
            <m:ctrlPr>
              <w:rPr>
                <w:rFonts w:ascii="Cambria Math" w:hAnsi="Cambria Math"/>
              </w:rPr>
            </m:ctrlPr>
          </m:sSubPr>
          <m:e>
            <m:r>
              <w:rPr>
                <w:rFonts w:ascii="Cambria Math" w:hAnsi="Cambria Math"/>
              </w:rPr>
              <m:t>PK</m:t>
            </m:r>
          </m:e>
          <m:sub>
            <m:r>
              <w:rPr>
                <w:rFonts w:ascii="Cambria Math" w:hAnsi="Cambria Math"/>
              </w:rPr>
              <m:t>ОКІ</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PK</m:t>
                </m:r>
              </m:e>
              <m:sub>
                <m:r>
                  <w:rPr>
                    <w:rFonts w:ascii="Cambria Math" w:hAnsi="Cambria Math"/>
                  </w:rPr>
                  <m:t>i</m:t>
                </m:r>
              </m:sub>
            </m:sSub>
          </m:num>
          <m:den>
            <m:sSub>
              <m:sSubPr>
                <m:ctrlPr>
                  <w:rPr>
                    <w:rFonts w:ascii="Cambria Math" w:hAnsi="Cambria Math"/>
                  </w:rPr>
                </m:ctrlPr>
              </m:sSubPr>
              <m:e>
                <m:r>
                  <w:rPr>
                    <w:rFonts w:ascii="Cambria Math" w:hAnsi="Cambria Math"/>
                  </w:rPr>
                  <m:t>PK</m:t>
                </m:r>
              </m:e>
              <m:sub>
                <m:r>
                  <w:rPr>
                    <w:rFonts w:ascii="Cambria Math" w:hAnsi="Cambria Math"/>
                  </w:rPr>
                  <m:t>max</m:t>
                </m:r>
              </m:sub>
            </m:sSub>
          </m:den>
        </m:f>
        <m:r>
          <w:rPr>
            <w:rFonts w:ascii="Cambria Math" w:hAnsi="Cambria Math"/>
          </w:rPr>
          <m:t>=</m:t>
        </m:r>
        <m:f>
          <m:fPr>
            <m:ctrlPr>
              <w:rPr>
                <w:rFonts w:ascii="Cambria Math" w:hAnsi="Cambria Math"/>
              </w:rPr>
            </m:ctrlPr>
          </m:fPr>
          <m:num>
            <m:r>
              <w:rPr>
                <w:rFonts w:ascii="Cambria Math" w:hAnsi="Cambria Math"/>
              </w:rPr>
              <m:t>8+21</m:t>
            </m:r>
          </m:num>
          <m:den>
            <m:r>
              <w:rPr>
                <w:rFonts w:ascii="Cambria Math" w:hAnsi="Cambria Math"/>
              </w:rPr>
              <m:t>18*4</m:t>
            </m:r>
          </m:den>
        </m:f>
        <m:r>
          <w:rPr>
            <w:rFonts w:ascii="Cambria Math" w:hAnsi="Cambria Math"/>
          </w:rPr>
          <m:t>=</m:t>
        </m:r>
        <m:f>
          <m:fPr>
            <m:ctrlPr>
              <w:rPr>
                <w:rFonts w:ascii="Cambria Math" w:hAnsi="Cambria Math"/>
              </w:rPr>
            </m:ctrlPr>
          </m:fPr>
          <m:num>
            <m:r>
              <w:rPr>
                <w:rFonts w:ascii="Cambria Math" w:hAnsi="Cambria Math"/>
              </w:rPr>
              <m:t>29</m:t>
            </m:r>
          </m:num>
          <m:den>
            <m:r>
              <w:rPr>
                <w:rFonts w:ascii="Cambria Math" w:hAnsi="Cambria Math"/>
              </w:rPr>
              <m:t>72</m:t>
            </m:r>
          </m:den>
        </m:f>
        <m:r>
          <w:rPr>
            <w:rFonts w:ascii="Cambria Math" w:hAnsi="Cambria Math"/>
          </w:rPr>
          <m:t>=0,4</m:t>
        </m:r>
      </m:oMath>
      <w:r w:rsidR="00BE6DCB" w:rsidRPr="0061024A">
        <w:rPr>
          <w:szCs w:val="28"/>
        </w:rPr>
        <w:t>.</w:t>
      </w:r>
    </w:p>
    <w:p w:rsidR="00BE6DCB" w:rsidRPr="0061024A" w:rsidRDefault="00BE6DCB" w:rsidP="00BE6DCB">
      <w:pPr>
        <w:ind w:left="709" w:firstLine="0"/>
        <w:jc w:val="left"/>
        <w:rPr>
          <w:szCs w:val="28"/>
        </w:rPr>
      </w:pPr>
    </w:p>
    <w:p w:rsidR="00BE6DCB" w:rsidRPr="0061024A" w:rsidRDefault="00BE6DCB" w:rsidP="00BE6DCB">
      <w:pPr>
        <w:ind w:left="360"/>
        <w:jc w:val="left"/>
        <w:rPr>
          <w:szCs w:val="28"/>
        </w:rPr>
      </w:pPr>
      <w:r w:rsidRPr="0061024A">
        <w:rPr>
          <w:szCs w:val="28"/>
        </w:rPr>
        <w:t>Відповідно до правила:</w:t>
      </w:r>
    </w:p>
    <w:p w:rsidR="00BE6DCB" w:rsidRPr="0061024A" w:rsidRDefault="00BE6DCB" w:rsidP="00BE6DCB">
      <w:pPr>
        <w:pStyle w:val="a3"/>
        <w:shd w:val="clear" w:color="auto" w:fill="FFFFFF"/>
        <w:ind w:left="1429" w:hanging="295"/>
        <w:jc w:val="left"/>
        <w:rPr>
          <w:szCs w:val="28"/>
        </w:rPr>
      </w:pPr>
      <w:r w:rsidRPr="0061024A">
        <w:rPr>
          <w:rFonts w:eastAsia="Calibri"/>
          <w:szCs w:val="28"/>
        </w:rPr>
        <w:t>I</w:t>
      </w:r>
      <w:r>
        <w:rPr>
          <w:rFonts w:eastAsia="Calibri"/>
          <w:szCs w:val="28"/>
        </w:rPr>
        <w:t xml:space="preserve"> </w:t>
      </w:r>
      <w:r w:rsidRPr="0061024A">
        <w:rPr>
          <w:rFonts w:eastAsia="Calibri"/>
          <w:szCs w:val="28"/>
        </w:rPr>
        <w:t xml:space="preserve">категорія критичності, якщо </w:t>
      </w:r>
      <m:oMath>
        <m:sSub>
          <m:sSubPr>
            <m:ctrlPr>
              <w:rPr>
                <w:rFonts w:ascii="Cambria Math" w:hAnsi="Cambria Math"/>
              </w:rPr>
            </m:ctrlPr>
          </m:sSubPr>
          <m:e>
            <m:r>
              <w:rPr>
                <w:rFonts w:ascii="Cambria Math" w:hAnsi="Cambria Math"/>
              </w:rPr>
              <m:t>0,8˂PK</m:t>
            </m:r>
          </m:e>
          <m:sub>
            <m:r>
              <w:rPr>
                <w:rFonts w:ascii="Cambria Math" w:hAnsi="Cambria Math"/>
              </w:rPr>
              <m:t>OKI</m:t>
            </m:r>
          </m:sub>
        </m:sSub>
        <m:r>
          <w:rPr>
            <w:rFonts w:ascii="Cambria Math" w:hAnsi="Cambria Math"/>
          </w:rPr>
          <m:t>≤1</m:t>
        </m:r>
      </m:oMath>
      <w:r w:rsidRPr="0061024A">
        <w:rPr>
          <w:szCs w:val="28"/>
        </w:rPr>
        <w:t>;</w:t>
      </w:r>
    </w:p>
    <w:p w:rsidR="00BE6DCB" w:rsidRPr="0061024A" w:rsidRDefault="00BE6DCB" w:rsidP="00BE6DCB">
      <w:pPr>
        <w:pStyle w:val="a3"/>
        <w:shd w:val="clear" w:color="auto" w:fill="FFFFFF"/>
        <w:ind w:left="1429" w:hanging="295"/>
        <w:jc w:val="left"/>
        <w:rPr>
          <w:szCs w:val="28"/>
        </w:rPr>
      </w:pPr>
      <w:r w:rsidRPr="0061024A">
        <w:rPr>
          <w:szCs w:val="28"/>
        </w:rPr>
        <w:t xml:space="preserve">ІІ категорія критичності, якщо </w:t>
      </w:r>
      <m:oMath>
        <m:sSub>
          <m:sSubPr>
            <m:ctrlPr>
              <w:rPr>
                <w:rFonts w:ascii="Cambria Math" w:hAnsi="Cambria Math"/>
              </w:rPr>
            </m:ctrlPr>
          </m:sSubPr>
          <m:e>
            <m:r>
              <w:rPr>
                <w:rFonts w:ascii="Cambria Math" w:hAnsi="Cambria Math"/>
              </w:rPr>
              <m:t>0,63˂PK</m:t>
            </m:r>
          </m:e>
          <m:sub>
            <m:r>
              <w:rPr>
                <w:rFonts w:ascii="Cambria Math" w:hAnsi="Cambria Math"/>
              </w:rPr>
              <m:t>OKI</m:t>
            </m:r>
          </m:sub>
        </m:sSub>
        <m:r>
          <w:rPr>
            <w:rFonts w:ascii="Cambria Math" w:hAnsi="Cambria Math"/>
          </w:rPr>
          <m:t>≤0,8</m:t>
        </m:r>
      </m:oMath>
      <w:r w:rsidRPr="0061024A">
        <w:rPr>
          <w:szCs w:val="28"/>
        </w:rPr>
        <w:t>;</w:t>
      </w:r>
    </w:p>
    <w:p w:rsidR="00BE6DCB" w:rsidRPr="0061024A" w:rsidRDefault="00BE6DCB" w:rsidP="00BE6DCB">
      <w:pPr>
        <w:pStyle w:val="a3"/>
        <w:shd w:val="clear" w:color="auto" w:fill="FFFFFF"/>
        <w:ind w:left="1429" w:hanging="295"/>
        <w:jc w:val="left"/>
        <w:rPr>
          <w:szCs w:val="28"/>
        </w:rPr>
      </w:pPr>
      <w:r w:rsidRPr="0061024A">
        <w:rPr>
          <w:szCs w:val="28"/>
        </w:rPr>
        <w:t xml:space="preserve">ІІІ категорія критичності, якщо </w:t>
      </w:r>
      <m:oMath>
        <m:sSub>
          <m:sSubPr>
            <m:ctrlPr>
              <w:rPr>
                <w:rFonts w:ascii="Cambria Math" w:hAnsi="Cambria Math"/>
              </w:rPr>
            </m:ctrlPr>
          </m:sSubPr>
          <m:e>
            <m:r>
              <w:rPr>
                <w:rFonts w:ascii="Cambria Math" w:hAnsi="Cambria Math"/>
              </w:rPr>
              <m:t>0,37˂PK</m:t>
            </m:r>
          </m:e>
          <m:sub>
            <m:r>
              <w:rPr>
                <w:rFonts w:ascii="Cambria Math" w:hAnsi="Cambria Math"/>
              </w:rPr>
              <m:t>OKI</m:t>
            </m:r>
          </m:sub>
        </m:sSub>
        <m:r>
          <w:rPr>
            <w:rFonts w:ascii="Cambria Math" w:hAnsi="Cambria Math"/>
          </w:rPr>
          <m:t>≤0,63</m:t>
        </m:r>
      </m:oMath>
      <w:r w:rsidRPr="0061024A">
        <w:rPr>
          <w:szCs w:val="28"/>
        </w:rPr>
        <w:t>;</w:t>
      </w:r>
    </w:p>
    <w:p w:rsidR="00BE6DCB" w:rsidRPr="0061024A" w:rsidRDefault="00BE6DCB" w:rsidP="00BE6DCB">
      <w:pPr>
        <w:pStyle w:val="a3"/>
        <w:shd w:val="clear" w:color="auto" w:fill="FFFFFF"/>
        <w:ind w:left="1429" w:hanging="295"/>
        <w:jc w:val="left"/>
        <w:rPr>
          <w:szCs w:val="28"/>
        </w:rPr>
      </w:pPr>
      <w:r w:rsidRPr="0061024A">
        <w:rPr>
          <w:szCs w:val="28"/>
        </w:rPr>
        <w:t>ІV</w:t>
      </w:r>
      <w:r>
        <w:rPr>
          <w:szCs w:val="28"/>
        </w:rPr>
        <w:t xml:space="preserve"> </w:t>
      </w:r>
      <w:r w:rsidRPr="0061024A">
        <w:rPr>
          <w:szCs w:val="28"/>
        </w:rPr>
        <w:t xml:space="preserve">категорія критичності, якщо </w:t>
      </w:r>
      <m:oMath>
        <m:sSub>
          <m:sSubPr>
            <m:ctrlPr>
              <w:rPr>
                <w:rFonts w:ascii="Cambria Math" w:hAnsi="Cambria Math"/>
              </w:rPr>
            </m:ctrlPr>
          </m:sSubPr>
          <m:e>
            <m:r>
              <w:rPr>
                <w:rFonts w:ascii="Cambria Math" w:hAnsi="Cambria Math"/>
              </w:rPr>
              <m:t>0,2˂PK</m:t>
            </m:r>
          </m:e>
          <m:sub>
            <m:r>
              <w:rPr>
                <w:rFonts w:ascii="Cambria Math" w:hAnsi="Cambria Math"/>
              </w:rPr>
              <m:t>OKI</m:t>
            </m:r>
          </m:sub>
        </m:sSub>
        <m:r>
          <w:rPr>
            <w:rFonts w:ascii="Cambria Math" w:hAnsi="Cambria Math"/>
          </w:rPr>
          <m:t>≤0,37</m:t>
        </m:r>
      </m:oMath>
      <w:r w:rsidRPr="0061024A">
        <w:rPr>
          <w:szCs w:val="28"/>
        </w:rPr>
        <w:t>;</w:t>
      </w:r>
    </w:p>
    <w:p w:rsidR="00BE6DCB" w:rsidRPr="0061024A" w:rsidRDefault="00BE6DCB" w:rsidP="00BE6DCB">
      <w:pPr>
        <w:pStyle w:val="a3"/>
        <w:shd w:val="clear" w:color="auto" w:fill="FFFFFF"/>
        <w:ind w:left="1429" w:hanging="295"/>
        <w:jc w:val="left"/>
        <w:rPr>
          <w:rFonts w:eastAsia="Calibri"/>
          <w:szCs w:val="28"/>
        </w:rPr>
      </w:pPr>
      <w:r w:rsidRPr="0061024A">
        <w:rPr>
          <w:szCs w:val="28"/>
        </w:rPr>
        <w:t xml:space="preserve">об’єкт не є критичним, якщо  </w:t>
      </w:r>
      <m:oMath>
        <m:sSub>
          <m:sSubPr>
            <m:ctrlPr>
              <w:rPr>
                <w:rFonts w:ascii="Cambria Math" w:hAnsi="Cambria Math"/>
              </w:rPr>
            </m:ctrlPr>
          </m:sSubPr>
          <m:e>
            <m:r>
              <w:rPr>
                <w:rFonts w:ascii="Cambria Math" w:hAnsi="Cambria Math"/>
              </w:rPr>
              <m:t>PK</m:t>
            </m:r>
          </m:e>
          <m:sub>
            <m:r>
              <w:rPr>
                <w:rFonts w:ascii="Cambria Math" w:hAnsi="Cambria Math"/>
              </w:rPr>
              <m:t>OKI</m:t>
            </m:r>
          </m:sub>
        </m:sSub>
        <m:r>
          <w:rPr>
            <w:rFonts w:ascii="Cambria Math" w:hAnsi="Cambria Math"/>
          </w:rPr>
          <m:t>≤0,2</m:t>
        </m:r>
      </m:oMath>
      <w:r w:rsidRPr="0061024A">
        <w:rPr>
          <w:szCs w:val="28"/>
        </w:rPr>
        <w:t>.</w:t>
      </w:r>
    </w:p>
    <w:p w:rsidR="00BE6DCB" w:rsidRPr="0061024A" w:rsidRDefault="00BE6DCB" w:rsidP="00BE6DCB">
      <w:pPr>
        <w:ind w:firstLine="0"/>
        <w:jc w:val="left"/>
        <w:rPr>
          <w:szCs w:val="28"/>
        </w:rPr>
      </w:pPr>
    </w:p>
    <w:p w:rsidR="00BE6DCB" w:rsidRPr="0061024A" w:rsidRDefault="00BE6DCB" w:rsidP="00BE6DCB">
      <w:pPr>
        <w:jc w:val="left"/>
        <w:rPr>
          <w:szCs w:val="28"/>
        </w:rPr>
      </w:pPr>
      <w:r w:rsidRPr="0061024A">
        <w:rPr>
          <w:szCs w:val="28"/>
        </w:rPr>
        <w:t>КНЕДП може бути віднесено до ІІІ категорії критичності.</w:t>
      </w:r>
    </w:p>
    <w:p w:rsidR="00BE6DCB" w:rsidRPr="0061024A" w:rsidRDefault="00BE6DCB" w:rsidP="00BE6DCB">
      <w:pPr>
        <w:ind w:left="7079"/>
        <w:contextualSpacing/>
        <w:rPr>
          <w:b/>
          <w:szCs w:val="28"/>
        </w:rPr>
      </w:pPr>
    </w:p>
    <w:p w:rsidR="00BE6DCB" w:rsidRPr="0061024A" w:rsidRDefault="00BE6DCB" w:rsidP="00BE6DCB">
      <w:pPr>
        <w:ind w:left="7079"/>
        <w:contextualSpacing/>
        <w:rPr>
          <w:b/>
          <w:szCs w:val="28"/>
        </w:rPr>
      </w:pPr>
    </w:p>
    <w:p w:rsidR="00424436" w:rsidRDefault="00424436"/>
    <w:sectPr w:rsidR="00424436" w:rsidSect="009B31E9">
      <w:pgSz w:w="16838" w:h="11906" w:orient="landscape"/>
      <w:pgMar w:top="1417" w:right="850" w:bottom="850" w:left="85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157" w:rsidRDefault="001C2157" w:rsidP="00BE6DCB">
      <w:r>
        <w:separator/>
      </w:r>
    </w:p>
  </w:endnote>
  <w:endnote w:type="continuationSeparator" w:id="0">
    <w:p w:rsidR="001C2157" w:rsidRDefault="001C2157" w:rsidP="00BE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157" w:rsidRDefault="001C2157" w:rsidP="00BE6DCB">
      <w:r>
        <w:separator/>
      </w:r>
    </w:p>
  </w:footnote>
  <w:footnote w:type="continuationSeparator" w:id="0">
    <w:p w:rsidR="001C2157" w:rsidRDefault="001C2157" w:rsidP="00BE6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510260"/>
      <w:docPartObj>
        <w:docPartGallery w:val="Page Numbers (Top of Page)"/>
        <w:docPartUnique/>
      </w:docPartObj>
    </w:sdtPr>
    <w:sdtEndPr/>
    <w:sdtContent>
      <w:p w:rsidR="00BE6DCB" w:rsidRDefault="00BE6DCB" w:rsidP="009B31E9">
        <w:pPr>
          <w:pStyle w:val="a4"/>
        </w:pPr>
      </w:p>
      <w:p w:rsidR="00BE6DCB" w:rsidRDefault="00BE6DCB">
        <w:pPr>
          <w:pStyle w:val="a4"/>
          <w:jc w:val="center"/>
        </w:pPr>
        <w:r>
          <w:fldChar w:fldCharType="begin"/>
        </w:r>
        <w:r>
          <w:instrText>PAGE   \* MERGEFORMAT</w:instrText>
        </w:r>
        <w:r>
          <w:fldChar w:fldCharType="separate"/>
        </w:r>
        <w:r w:rsidR="00CD1358" w:rsidRPr="00CD1358">
          <w:rPr>
            <w:noProof/>
            <w:lang w:val="ru-RU"/>
          </w:rPr>
          <w:t>9</w:t>
        </w:r>
        <w:r>
          <w:fldChar w:fldCharType="end"/>
        </w:r>
      </w:p>
    </w:sdtContent>
  </w:sdt>
  <w:p w:rsidR="00717B44" w:rsidRDefault="009B31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DCB" w:rsidRPr="009B31E9" w:rsidRDefault="00BE6DCB" w:rsidP="009B31E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71EC8"/>
    <w:multiLevelType w:val="hybridMultilevel"/>
    <w:tmpl w:val="DC3A326E"/>
    <w:lvl w:ilvl="0" w:tplc="6F14A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1C91E7C"/>
    <w:multiLevelType w:val="multilevel"/>
    <w:tmpl w:val="42D440E4"/>
    <w:lvl w:ilvl="0">
      <w:start w:val="1"/>
      <w:numFmt w:val="decimal"/>
      <w:lvlText w:val="%1."/>
      <w:lvlJc w:val="left"/>
      <w:pPr>
        <w:tabs>
          <w:tab w:val="num" w:pos="720"/>
        </w:tabs>
        <w:ind w:left="1069" w:hanging="360"/>
      </w:pPr>
    </w:lvl>
    <w:lvl w:ilvl="1">
      <w:start w:val="1"/>
      <w:numFmt w:val="lowerLetter"/>
      <w:lvlText w:val="%2."/>
      <w:lvlJc w:val="left"/>
      <w:pPr>
        <w:tabs>
          <w:tab w:val="num" w:pos="1080"/>
        </w:tabs>
        <w:ind w:left="1789" w:hanging="360"/>
      </w:pPr>
    </w:lvl>
    <w:lvl w:ilvl="2">
      <w:start w:val="1"/>
      <w:numFmt w:val="lowerRoman"/>
      <w:lvlText w:val="%3."/>
      <w:lvlJc w:val="right"/>
      <w:pPr>
        <w:tabs>
          <w:tab w:val="num" w:pos="1440"/>
        </w:tabs>
        <w:ind w:left="2509" w:hanging="180"/>
      </w:pPr>
    </w:lvl>
    <w:lvl w:ilvl="3">
      <w:start w:val="1"/>
      <w:numFmt w:val="decimal"/>
      <w:lvlText w:val="%4."/>
      <w:lvlJc w:val="left"/>
      <w:pPr>
        <w:tabs>
          <w:tab w:val="num" w:pos="1800"/>
        </w:tabs>
        <w:ind w:left="3229" w:hanging="360"/>
      </w:pPr>
    </w:lvl>
    <w:lvl w:ilvl="4">
      <w:start w:val="1"/>
      <w:numFmt w:val="lowerLetter"/>
      <w:lvlText w:val="%5."/>
      <w:lvlJc w:val="left"/>
      <w:pPr>
        <w:tabs>
          <w:tab w:val="num" w:pos="2160"/>
        </w:tabs>
        <w:ind w:left="3949" w:hanging="360"/>
      </w:pPr>
    </w:lvl>
    <w:lvl w:ilvl="5">
      <w:start w:val="1"/>
      <w:numFmt w:val="lowerRoman"/>
      <w:lvlText w:val="%6."/>
      <w:lvlJc w:val="right"/>
      <w:pPr>
        <w:tabs>
          <w:tab w:val="num" w:pos="2520"/>
        </w:tabs>
        <w:ind w:left="4669" w:hanging="180"/>
      </w:pPr>
    </w:lvl>
    <w:lvl w:ilvl="6">
      <w:start w:val="1"/>
      <w:numFmt w:val="decimal"/>
      <w:lvlText w:val="%7."/>
      <w:lvlJc w:val="left"/>
      <w:pPr>
        <w:tabs>
          <w:tab w:val="num" w:pos="2880"/>
        </w:tabs>
        <w:ind w:left="5389" w:hanging="360"/>
      </w:pPr>
    </w:lvl>
    <w:lvl w:ilvl="7">
      <w:start w:val="1"/>
      <w:numFmt w:val="lowerLetter"/>
      <w:lvlText w:val="%8."/>
      <w:lvlJc w:val="left"/>
      <w:pPr>
        <w:tabs>
          <w:tab w:val="num" w:pos="3240"/>
        </w:tabs>
        <w:ind w:left="6109" w:hanging="360"/>
      </w:pPr>
    </w:lvl>
    <w:lvl w:ilvl="8">
      <w:start w:val="1"/>
      <w:numFmt w:val="lowerRoman"/>
      <w:lvlText w:val="%9."/>
      <w:lvlJc w:val="right"/>
      <w:pPr>
        <w:tabs>
          <w:tab w:val="num" w:pos="3600"/>
        </w:tabs>
        <w:ind w:left="6829" w:hanging="180"/>
      </w:p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5EE"/>
    <w:rsid w:val="001C2157"/>
    <w:rsid w:val="002B723F"/>
    <w:rsid w:val="003D615C"/>
    <w:rsid w:val="00424436"/>
    <w:rsid w:val="009B31E9"/>
    <w:rsid w:val="009D25EE"/>
    <w:rsid w:val="00BE6DCB"/>
    <w:rsid w:val="00CD13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E90B"/>
  <w15:docId w15:val="{AE122C33-661F-4FB9-9539-FC8C161F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DCB"/>
    <w:pPr>
      <w:suppressAutoHyphens/>
      <w:spacing w:after="0" w:line="240" w:lineRule="auto"/>
      <w:ind w:firstLine="709"/>
      <w:jc w:val="both"/>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DCB"/>
    <w:pPr>
      <w:ind w:left="720"/>
      <w:contextualSpacing/>
    </w:pPr>
  </w:style>
  <w:style w:type="paragraph" w:styleId="a4">
    <w:name w:val="header"/>
    <w:basedOn w:val="a"/>
    <w:link w:val="a5"/>
    <w:uiPriority w:val="99"/>
    <w:unhideWhenUsed/>
    <w:rsid w:val="00BE6DCB"/>
    <w:pPr>
      <w:tabs>
        <w:tab w:val="center" w:pos="4819"/>
        <w:tab w:val="right" w:pos="9639"/>
      </w:tabs>
    </w:pPr>
  </w:style>
  <w:style w:type="character" w:customStyle="1" w:styleId="a5">
    <w:name w:val="Верхний колонтитул Знак"/>
    <w:basedOn w:val="a0"/>
    <w:link w:val="a4"/>
    <w:uiPriority w:val="99"/>
    <w:rsid w:val="00BE6DCB"/>
    <w:rPr>
      <w:rFonts w:ascii="Times New Roman" w:eastAsia="Times New Roman" w:hAnsi="Times New Roman" w:cs="Times New Roman"/>
      <w:sz w:val="28"/>
    </w:rPr>
  </w:style>
  <w:style w:type="paragraph" w:customStyle="1" w:styleId="a6">
    <w:name w:val="Вміст рамки"/>
    <w:basedOn w:val="a"/>
    <w:qFormat/>
    <w:rsid w:val="00BE6DCB"/>
  </w:style>
  <w:style w:type="paragraph" w:styleId="a7">
    <w:name w:val="Balloon Text"/>
    <w:basedOn w:val="a"/>
    <w:link w:val="a8"/>
    <w:uiPriority w:val="99"/>
    <w:semiHidden/>
    <w:unhideWhenUsed/>
    <w:rsid w:val="00BE6DCB"/>
    <w:rPr>
      <w:rFonts w:ascii="Tahoma" w:hAnsi="Tahoma" w:cs="Tahoma"/>
      <w:sz w:val="16"/>
      <w:szCs w:val="16"/>
    </w:rPr>
  </w:style>
  <w:style w:type="character" w:customStyle="1" w:styleId="a8">
    <w:name w:val="Текст выноски Знак"/>
    <w:basedOn w:val="a0"/>
    <w:link w:val="a7"/>
    <w:uiPriority w:val="99"/>
    <w:semiHidden/>
    <w:rsid w:val="00BE6DCB"/>
    <w:rPr>
      <w:rFonts w:ascii="Tahoma" w:eastAsia="Times New Roman" w:hAnsi="Tahoma" w:cs="Tahoma"/>
      <w:sz w:val="16"/>
      <w:szCs w:val="16"/>
    </w:rPr>
  </w:style>
  <w:style w:type="paragraph" w:styleId="a9">
    <w:name w:val="footer"/>
    <w:basedOn w:val="a"/>
    <w:link w:val="aa"/>
    <w:uiPriority w:val="99"/>
    <w:unhideWhenUsed/>
    <w:rsid w:val="00BE6DCB"/>
    <w:pPr>
      <w:tabs>
        <w:tab w:val="center" w:pos="4819"/>
        <w:tab w:val="right" w:pos="9639"/>
      </w:tabs>
    </w:pPr>
  </w:style>
  <w:style w:type="character" w:customStyle="1" w:styleId="aa">
    <w:name w:val="Нижний колонтитул Знак"/>
    <w:basedOn w:val="a0"/>
    <w:link w:val="a9"/>
    <w:uiPriority w:val="99"/>
    <w:rsid w:val="00BE6DCB"/>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D714B-0FCE-46DF-911B-EEBE4391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1886</Words>
  <Characters>10751</Characters>
  <Application>Microsoft Office Word</Application>
  <DocSecurity>0</DocSecurity>
  <Lines>89</Lines>
  <Paragraphs>25</Paragraphs>
  <ScaleCrop>false</ScaleCrop>
  <Company>SPecialiST RePack</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Admn</dc:creator>
  <cp:keywords/>
  <dc:description/>
  <cp:lastModifiedBy>Vladyslav</cp:lastModifiedBy>
  <cp:revision>6</cp:revision>
  <dcterms:created xsi:type="dcterms:W3CDTF">2021-01-13T10:56:00Z</dcterms:created>
  <dcterms:modified xsi:type="dcterms:W3CDTF">2021-01-14T08:49:00Z</dcterms:modified>
</cp:coreProperties>
</file>