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5FE" w:rsidRPr="000A0257" w:rsidRDefault="00E365FE" w:rsidP="000A0257">
      <w:pPr>
        <w:jc w:val="center"/>
        <w:rPr>
          <w:b/>
          <w:sz w:val="28"/>
          <w:szCs w:val="28"/>
          <w:lang w:val="uk-UA"/>
        </w:rPr>
      </w:pPr>
      <w:r w:rsidRPr="001E32A6">
        <w:rPr>
          <w:b/>
          <w:sz w:val="28"/>
          <w:szCs w:val="28"/>
          <w:lang w:val="uk-UA"/>
        </w:rPr>
        <w:t>Аналіз регуляторного впливу</w:t>
      </w:r>
      <w:r w:rsidR="002916AC">
        <w:rPr>
          <w:b/>
          <w:sz w:val="28"/>
          <w:szCs w:val="28"/>
          <w:lang w:val="uk-UA"/>
        </w:rPr>
        <w:br/>
      </w:r>
      <w:r w:rsidRPr="001E32A6">
        <w:rPr>
          <w:b/>
          <w:sz w:val="28"/>
          <w:szCs w:val="28"/>
          <w:lang w:val="uk-UA"/>
        </w:rPr>
        <w:t xml:space="preserve">до </w:t>
      </w:r>
      <w:r w:rsidR="00976547">
        <w:rPr>
          <w:b/>
          <w:sz w:val="28"/>
          <w:szCs w:val="28"/>
          <w:lang w:val="uk-UA"/>
        </w:rPr>
        <w:t>проєкт</w:t>
      </w:r>
      <w:r w:rsidRPr="001E32A6">
        <w:rPr>
          <w:b/>
          <w:sz w:val="28"/>
          <w:szCs w:val="28"/>
          <w:lang w:val="uk-UA"/>
        </w:rPr>
        <w:t xml:space="preserve">у наказу </w:t>
      </w:r>
      <w:r w:rsidRPr="001E32A6">
        <w:rPr>
          <w:b/>
          <w:color w:val="000000"/>
          <w:sz w:val="28"/>
          <w:szCs w:val="28"/>
          <w:lang w:val="uk-UA"/>
        </w:rPr>
        <w:t>Адміністрації Державної служби спеціального зв’язку та захисту інформації України</w:t>
      </w:r>
      <w:r w:rsidR="00626AD2">
        <w:rPr>
          <w:b/>
          <w:sz w:val="28"/>
          <w:szCs w:val="28"/>
          <w:lang w:val="uk-UA"/>
        </w:rPr>
        <w:t xml:space="preserve"> </w:t>
      </w:r>
      <w:r w:rsidR="00626AD2" w:rsidRPr="000A0257">
        <w:rPr>
          <w:b/>
          <w:sz w:val="28"/>
          <w:szCs w:val="28"/>
          <w:lang w:val="uk-UA"/>
        </w:rPr>
        <w:t>«</w:t>
      </w:r>
      <w:r w:rsidR="000A0257" w:rsidRPr="000A0257">
        <w:rPr>
          <w:b/>
          <w:bCs/>
          <w:sz w:val="28"/>
          <w:szCs w:val="28"/>
          <w:lang w:val="uk-UA"/>
        </w:rPr>
        <w:t xml:space="preserve">Про затвердження Вимог щодо рівня якості </w:t>
      </w:r>
      <w:r w:rsidR="000A0257">
        <w:rPr>
          <w:b/>
          <w:bCs/>
          <w:sz w:val="28"/>
          <w:szCs w:val="28"/>
          <w:lang w:val="uk-UA"/>
        </w:rPr>
        <w:t>п</w:t>
      </w:r>
      <w:r w:rsidR="000A0257" w:rsidRPr="000A0257">
        <w:rPr>
          <w:b/>
          <w:bCs/>
          <w:sz w:val="28"/>
          <w:szCs w:val="28"/>
          <w:lang w:val="uk-UA"/>
        </w:rPr>
        <w:t xml:space="preserve">ослуг </w:t>
      </w:r>
      <w:r w:rsidR="00E67CBD">
        <w:rPr>
          <w:b/>
          <w:bCs/>
          <w:sz w:val="28"/>
          <w:szCs w:val="28"/>
          <w:lang w:val="uk-UA"/>
        </w:rPr>
        <w:t>рухомого (мобільного)</w:t>
      </w:r>
      <w:r w:rsidR="000A0257" w:rsidRPr="000A0257">
        <w:rPr>
          <w:b/>
          <w:bCs/>
          <w:sz w:val="28"/>
          <w:szCs w:val="28"/>
          <w:lang w:val="uk-UA"/>
        </w:rPr>
        <w:t xml:space="preserve"> зв’язку</w:t>
      </w:r>
      <w:r w:rsidR="00626AD2" w:rsidRPr="000A0257">
        <w:rPr>
          <w:b/>
          <w:sz w:val="28"/>
          <w:szCs w:val="28"/>
          <w:lang w:val="uk-UA"/>
        </w:rPr>
        <w:t>»</w:t>
      </w:r>
    </w:p>
    <w:p w:rsidR="00E365FE" w:rsidRPr="00BE18E4" w:rsidRDefault="00E365FE" w:rsidP="00CB29CD">
      <w:pPr>
        <w:jc w:val="center"/>
        <w:rPr>
          <w:sz w:val="28"/>
          <w:szCs w:val="28"/>
          <w:lang w:val="uk-UA"/>
        </w:rPr>
      </w:pPr>
    </w:p>
    <w:p w:rsidR="00E365FE" w:rsidRDefault="00E365FE" w:rsidP="00084588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І. Визначення проблеми</w:t>
      </w:r>
    </w:p>
    <w:p w:rsidR="00AC6B94" w:rsidRDefault="00976547" w:rsidP="001207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  <w:r w:rsidR="00E365FE" w:rsidRPr="00BE18E4">
        <w:rPr>
          <w:sz w:val="28"/>
          <w:szCs w:val="28"/>
          <w:lang w:val="uk-UA"/>
        </w:rPr>
        <w:t xml:space="preserve"> наказу </w:t>
      </w:r>
      <w:r w:rsidR="00E365FE" w:rsidRPr="00B637C0">
        <w:rPr>
          <w:color w:val="000000"/>
          <w:sz w:val="28"/>
          <w:szCs w:val="28"/>
          <w:lang w:val="uk-UA"/>
        </w:rPr>
        <w:t xml:space="preserve">Адміністрації Державної служби спеціального зв’язку та </w:t>
      </w:r>
      <w:r w:rsidR="000A0257">
        <w:rPr>
          <w:color w:val="000000"/>
          <w:sz w:val="28"/>
          <w:szCs w:val="28"/>
          <w:lang w:val="uk-UA"/>
        </w:rPr>
        <w:t>з</w:t>
      </w:r>
      <w:r w:rsidR="00E365FE" w:rsidRPr="00B637C0">
        <w:rPr>
          <w:color w:val="000000"/>
          <w:sz w:val="28"/>
          <w:szCs w:val="28"/>
          <w:lang w:val="uk-UA"/>
        </w:rPr>
        <w:t>ахисту інформації України</w:t>
      </w:r>
      <w:r w:rsidR="00E365FE" w:rsidRPr="00B637C0">
        <w:rPr>
          <w:sz w:val="28"/>
          <w:szCs w:val="28"/>
          <w:lang w:val="uk-UA"/>
        </w:rPr>
        <w:t xml:space="preserve"> </w:t>
      </w:r>
      <w:r w:rsidR="000A0257">
        <w:rPr>
          <w:sz w:val="28"/>
          <w:szCs w:val="28"/>
          <w:lang w:val="uk-UA"/>
        </w:rPr>
        <w:t>«</w:t>
      </w:r>
      <w:r w:rsidR="000A0257" w:rsidRPr="00065A31">
        <w:rPr>
          <w:bCs/>
          <w:sz w:val="28"/>
          <w:szCs w:val="28"/>
          <w:lang w:val="uk-UA"/>
        </w:rPr>
        <w:t xml:space="preserve">Про </w:t>
      </w:r>
      <w:r w:rsidR="000A0257">
        <w:rPr>
          <w:bCs/>
          <w:sz w:val="28"/>
          <w:szCs w:val="28"/>
          <w:lang w:val="uk-UA"/>
        </w:rPr>
        <w:t xml:space="preserve">затвердження Вимог щодо рівня </w:t>
      </w:r>
      <w:r w:rsidR="000A0257" w:rsidRPr="00065A31">
        <w:rPr>
          <w:bCs/>
          <w:sz w:val="28"/>
          <w:szCs w:val="28"/>
          <w:lang w:val="uk-UA"/>
        </w:rPr>
        <w:t xml:space="preserve">якості послуг </w:t>
      </w:r>
      <w:r w:rsidR="00DF0E31" w:rsidRPr="00DF0E31">
        <w:rPr>
          <w:bCs/>
          <w:sz w:val="28"/>
          <w:szCs w:val="28"/>
          <w:lang w:val="uk-UA"/>
        </w:rPr>
        <w:t>рухомого (мобільного)</w:t>
      </w:r>
      <w:r w:rsidR="000A0257">
        <w:rPr>
          <w:bCs/>
          <w:sz w:val="28"/>
          <w:szCs w:val="28"/>
          <w:lang w:val="uk-UA"/>
        </w:rPr>
        <w:t xml:space="preserve"> зв’</w:t>
      </w:r>
      <w:r w:rsidR="000A0257" w:rsidRPr="00065A31">
        <w:rPr>
          <w:bCs/>
          <w:sz w:val="28"/>
          <w:szCs w:val="28"/>
          <w:lang w:val="uk-UA"/>
        </w:rPr>
        <w:t>язку</w:t>
      </w:r>
      <w:r w:rsidR="00DF0E31">
        <w:rPr>
          <w:bCs/>
          <w:sz w:val="28"/>
          <w:szCs w:val="28"/>
          <w:lang w:val="uk-UA"/>
        </w:rPr>
        <w:t>»</w:t>
      </w:r>
      <w:r w:rsidR="000A0257">
        <w:rPr>
          <w:bCs/>
          <w:sz w:val="28"/>
          <w:szCs w:val="28"/>
          <w:lang w:val="uk-UA"/>
        </w:rPr>
        <w:t xml:space="preserve"> </w:t>
      </w:r>
      <w:r w:rsidR="006901C7" w:rsidRPr="006901C7">
        <w:rPr>
          <w:color w:val="000000"/>
          <w:sz w:val="28"/>
          <w:szCs w:val="28"/>
          <w:lang w:val="uk-UA"/>
        </w:rPr>
        <w:t xml:space="preserve">(далі – </w:t>
      </w:r>
      <w:r>
        <w:rPr>
          <w:color w:val="000000"/>
          <w:sz w:val="28"/>
          <w:szCs w:val="28"/>
          <w:lang w:val="uk-UA"/>
        </w:rPr>
        <w:t>проєкт</w:t>
      </w:r>
      <w:r w:rsidR="006901C7" w:rsidRPr="006901C7">
        <w:rPr>
          <w:color w:val="000000"/>
          <w:sz w:val="28"/>
          <w:szCs w:val="28"/>
          <w:lang w:val="uk-UA"/>
        </w:rPr>
        <w:t xml:space="preserve"> Наказу)</w:t>
      </w:r>
      <w:r w:rsidR="006901C7">
        <w:rPr>
          <w:b/>
          <w:color w:val="000000"/>
          <w:sz w:val="28"/>
          <w:szCs w:val="28"/>
          <w:lang w:val="uk-UA"/>
        </w:rPr>
        <w:t xml:space="preserve"> </w:t>
      </w:r>
      <w:r w:rsidR="00626AD2">
        <w:rPr>
          <w:sz w:val="28"/>
          <w:szCs w:val="28"/>
          <w:lang w:val="uk-UA"/>
        </w:rPr>
        <w:t>розроблено</w:t>
      </w:r>
      <w:r w:rsidR="00E365FE" w:rsidRPr="00BE18E4">
        <w:rPr>
          <w:sz w:val="28"/>
          <w:szCs w:val="28"/>
          <w:lang w:val="uk-UA"/>
        </w:rPr>
        <w:t xml:space="preserve"> </w:t>
      </w:r>
      <w:r w:rsidR="00DF0E31">
        <w:rPr>
          <w:sz w:val="28"/>
          <w:szCs w:val="28"/>
          <w:lang w:val="uk-UA"/>
        </w:rPr>
        <w:t xml:space="preserve">на виконання пункту </w:t>
      </w:r>
      <w:r w:rsidR="00DF0E31" w:rsidRPr="00041A5D">
        <w:rPr>
          <w:sz w:val="28"/>
          <w:szCs w:val="28"/>
          <w:lang w:val="uk-UA"/>
        </w:rPr>
        <w:t xml:space="preserve">1 </w:t>
      </w:r>
      <w:r w:rsidR="009D5CFD" w:rsidRPr="00041A5D">
        <w:rPr>
          <w:color w:val="000000"/>
          <w:sz w:val="28"/>
          <w:szCs w:val="28"/>
          <w:lang w:val="uk-UA"/>
        </w:rPr>
        <w:t xml:space="preserve">плану </w:t>
      </w:r>
      <w:r w:rsidR="00A32455" w:rsidRPr="00041A5D">
        <w:rPr>
          <w:color w:val="000000"/>
          <w:sz w:val="28"/>
          <w:szCs w:val="28"/>
          <w:lang w:val="uk-UA"/>
        </w:rPr>
        <w:t>заходів щодо підвищення якості послуг рухомого (мобільного) зв’язку, затвердженого розпорядженням К</w:t>
      </w:r>
      <w:r w:rsidR="00041A5D" w:rsidRPr="00041A5D">
        <w:rPr>
          <w:color w:val="000000"/>
          <w:sz w:val="28"/>
          <w:szCs w:val="28"/>
          <w:lang w:val="uk-UA"/>
        </w:rPr>
        <w:t>абінету Міністрів України від 30</w:t>
      </w:r>
      <w:r w:rsidR="00A32455" w:rsidRPr="00041A5D">
        <w:rPr>
          <w:color w:val="000000"/>
          <w:sz w:val="28"/>
          <w:szCs w:val="28"/>
          <w:lang w:val="uk-UA"/>
        </w:rPr>
        <w:t xml:space="preserve"> </w:t>
      </w:r>
      <w:r w:rsidR="00041A5D" w:rsidRPr="00041A5D">
        <w:rPr>
          <w:color w:val="000000"/>
          <w:sz w:val="28"/>
          <w:szCs w:val="28"/>
          <w:lang w:val="uk-UA"/>
        </w:rPr>
        <w:t>вересня</w:t>
      </w:r>
      <w:r w:rsidR="00A32455" w:rsidRPr="00041A5D">
        <w:rPr>
          <w:color w:val="000000"/>
          <w:sz w:val="28"/>
          <w:szCs w:val="28"/>
          <w:lang w:val="uk-UA"/>
        </w:rPr>
        <w:t xml:space="preserve"> 2020 року №</w:t>
      </w:r>
      <w:r w:rsidR="00A32455" w:rsidRPr="00041A5D">
        <w:rPr>
          <w:color w:val="000000"/>
          <w:sz w:val="28"/>
          <w:szCs w:val="28"/>
          <w:lang w:val="en-US"/>
        </w:rPr>
        <w:t> </w:t>
      </w:r>
      <w:r w:rsidR="00041A5D" w:rsidRPr="00041A5D">
        <w:rPr>
          <w:color w:val="000000"/>
          <w:sz w:val="28"/>
          <w:szCs w:val="28"/>
          <w:lang w:val="uk-UA"/>
        </w:rPr>
        <w:t>1189</w:t>
      </w:r>
      <w:r w:rsidR="00A32455" w:rsidRPr="00041A5D">
        <w:rPr>
          <w:color w:val="000000"/>
          <w:sz w:val="28"/>
          <w:szCs w:val="28"/>
          <w:lang w:val="uk-UA"/>
        </w:rPr>
        <w:t>-р</w:t>
      </w:r>
      <w:r w:rsidR="00C14637" w:rsidRPr="00041A5D">
        <w:rPr>
          <w:sz w:val="28"/>
          <w:szCs w:val="28"/>
          <w:lang w:val="uk-UA"/>
        </w:rPr>
        <w:t>.</w:t>
      </w:r>
      <w:r w:rsidR="00C14637">
        <w:rPr>
          <w:sz w:val="28"/>
          <w:szCs w:val="28"/>
          <w:lang w:val="uk-UA"/>
        </w:rPr>
        <w:t xml:space="preserve"> (далі – План).</w:t>
      </w:r>
    </w:p>
    <w:p w:rsidR="00E365FE" w:rsidRDefault="006D1333" w:rsidP="001207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</w:t>
      </w:r>
      <w:r w:rsidR="00E365FE" w:rsidRPr="002C5AA1">
        <w:rPr>
          <w:sz w:val="28"/>
          <w:szCs w:val="28"/>
          <w:lang w:val="uk-UA"/>
        </w:rPr>
        <w:t xml:space="preserve"> </w:t>
      </w:r>
      <w:r w:rsidR="00E365FE">
        <w:rPr>
          <w:sz w:val="28"/>
          <w:szCs w:val="28"/>
          <w:lang w:val="uk-UA"/>
        </w:rPr>
        <w:t>пункту</w:t>
      </w:r>
      <w:r w:rsidR="00E365FE" w:rsidRPr="002C5AA1">
        <w:rPr>
          <w:sz w:val="28"/>
          <w:szCs w:val="28"/>
          <w:lang w:val="uk-UA"/>
        </w:rPr>
        <w:t xml:space="preserve"> 4 частини першої статті 15 Закону </w:t>
      </w:r>
      <w:r w:rsidR="00626AD2">
        <w:rPr>
          <w:sz w:val="28"/>
          <w:szCs w:val="28"/>
          <w:lang w:val="uk-UA"/>
        </w:rPr>
        <w:t>України «Про телекомунікації»</w:t>
      </w:r>
      <w:r w:rsidR="00626AD2" w:rsidRPr="00422998">
        <w:rPr>
          <w:sz w:val="28"/>
          <w:szCs w:val="28"/>
          <w:lang w:val="uk-UA"/>
        </w:rPr>
        <w:t xml:space="preserve"> (далі – Закон)</w:t>
      </w:r>
      <w:r w:rsidR="00626AD2">
        <w:rPr>
          <w:sz w:val="28"/>
          <w:szCs w:val="28"/>
          <w:lang w:val="uk-UA"/>
        </w:rPr>
        <w:t xml:space="preserve"> </w:t>
      </w:r>
      <w:r w:rsidR="00E365FE" w:rsidRPr="002C5AA1">
        <w:rPr>
          <w:sz w:val="28"/>
          <w:szCs w:val="28"/>
          <w:lang w:val="uk-UA"/>
        </w:rPr>
        <w:t xml:space="preserve">передбачено, що центральний орган виконавчої влади в галузі зв’язку (далі – ЦОВЗ) </w:t>
      </w:r>
      <w:r w:rsidR="00E365FE" w:rsidRPr="00344B9C">
        <w:rPr>
          <w:sz w:val="28"/>
          <w:szCs w:val="28"/>
          <w:lang w:val="uk-UA"/>
        </w:rPr>
        <w:t>визначає вимоги щодо рівня якості телекомунікаційних послуг</w:t>
      </w:r>
      <w:r w:rsidR="00E365FE">
        <w:rPr>
          <w:sz w:val="28"/>
          <w:szCs w:val="28"/>
          <w:lang w:val="uk-UA"/>
        </w:rPr>
        <w:t>. П</w:t>
      </w:r>
      <w:r w:rsidR="00E365FE" w:rsidRPr="004600AA">
        <w:rPr>
          <w:sz w:val="28"/>
          <w:szCs w:val="28"/>
          <w:lang w:val="uk-UA"/>
        </w:rPr>
        <w:t>ри цьому оператори</w:t>
      </w:r>
      <w:r w:rsidR="00970D37">
        <w:rPr>
          <w:sz w:val="28"/>
          <w:szCs w:val="28"/>
          <w:lang w:val="uk-UA"/>
        </w:rPr>
        <w:t>, провайдери</w:t>
      </w:r>
      <w:r w:rsidR="00A408FB">
        <w:rPr>
          <w:sz w:val="28"/>
          <w:szCs w:val="28"/>
          <w:lang w:val="uk-UA"/>
        </w:rPr>
        <w:t xml:space="preserve"> телекомунікацій</w:t>
      </w:r>
      <w:r w:rsidR="00E365FE" w:rsidRPr="004600AA">
        <w:rPr>
          <w:sz w:val="28"/>
          <w:szCs w:val="28"/>
          <w:lang w:val="uk-UA"/>
        </w:rPr>
        <w:t xml:space="preserve"> </w:t>
      </w:r>
      <w:r w:rsidR="00A408FB">
        <w:rPr>
          <w:sz w:val="28"/>
          <w:szCs w:val="28"/>
          <w:lang w:val="uk-UA"/>
        </w:rPr>
        <w:t xml:space="preserve">відповідно до </w:t>
      </w:r>
      <w:r w:rsidR="00A408FB" w:rsidRPr="00A408FB">
        <w:rPr>
          <w:sz w:val="28"/>
          <w:szCs w:val="28"/>
          <w:lang w:val="uk-UA"/>
        </w:rPr>
        <w:t>пункту 3 частини першої статті 39 Закону</w:t>
      </w:r>
      <w:r w:rsidR="00A408FB" w:rsidRPr="004600AA">
        <w:rPr>
          <w:sz w:val="28"/>
          <w:szCs w:val="28"/>
          <w:lang w:val="uk-UA"/>
        </w:rPr>
        <w:t xml:space="preserve"> </w:t>
      </w:r>
      <w:r w:rsidR="00E365FE" w:rsidRPr="004600AA">
        <w:rPr>
          <w:sz w:val="28"/>
          <w:szCs w:val="28"/>
          <w:lang w:val="uk-UA"/>
        </w:rPr>
        <w:t>зобов’язан</w:t>
      </w:r>
      <w:bookmarkStart w:id="0" w:name="137"/>
      <w:bookmarkEnd w:id="0"/>
      <w:r w:rsidR="00E365FE" w:rsidRPr="004600AA">
        <w:rPr>
          <w:sz w:val="28"/>
          <w:szCs w:val="28"/>
          <w:lang w:val="uk-UA"/>
        </w:rPr>
        <w:t>і надавати послуги за встановленими показниками якості</w:t>
      </w:r>
      <w:r w:rsidR="00CE6516">
        <w:rPr>
          <w:sz w:val="28"/>
          <w:szCs w:val="28"/>
          <w:lang w:val="uk-UA"/>
        </w:rPr>
        <w:t xml:space="preserve"> </w:t>
      </w:r>
      <w:r w:rsidR="00E365FE" w:rsidRPr="004600AA">
        <w:rPr>
          <w:sz w:val="28"/>
          <w:szCs w:val="28"/>
          <w:lang w:val="uk-UA"/>
        </w:rPr>
        <w:t xml:space="preserve">відповідно до стандартів </w:t>
      </w:r>
      <w:r w:rsidR="00E365FE">
        <w:rPr>
          <w:sz w:val="28"/>
          <w:szCs w:val="28"/>
          <w:lang w:val="uk-UA"/>
        </w:rPr>
        <w:t>та інших нормативних документів,</w:t>
      </w:r>
      <w:r w:rsidR="00E365FE" w:rsidRPr="00811490">
        <w:rPr>
          <w:sz w:val="28"/>
          <w:szCs w:val="28"/>
          <w:lang w:val="uk-UA"/>
        </w:rPr>
        <w:t xml:space="preserve"> а Національн</w:t>
      </w:r>
      <w:r w:rsidR="00E365FE">
        <w:rPr>
          <w:sz w:val="28"/>
          <w:szCs w:val="28"/>
          <w:lang w:val="uk-UA"/>
        </w:rPr>
        <w:t>а</w:t>
      </w:r>
      <w:r w:rsidR="00E365FE" w:rsidRPr="00811490">
        <w:rPr>
          <w:sz w:val="28"/>
          <w:szCs w:val="28"/>
          <w:lang w:val="uk-UA"/>
        </w:rPr>
        <w:t xml:space="preserve"> комісі</w:t>
      </w:r>
      <w:r w:rsidR="00E365FE">
        <w:rPr>
          <w:sz w:val="28"/>
          <w:szCs w:val="28"/>
          <w:lang w:val="uk-UA"/>
        </w:rPr>
        <w:t>я</w:t>
      </w:r>
      <w:r w:rsidR="00D053A9">
        <w:rPr>
          <w:sz w:val="28"/>
          <w:szCs w:val="28"/>
          <w:lang w:val="uk-UA"/>
        </w:rPr>
        <w:t xml:space="preserve">, що здійснює </w:t>
      </w:r>
      <w:r w:rsidR="00BD74E3">
        <w:rPr>
          <w:sz w:val="28"/>
          <w:szCs w:val="28"/>
          <w:lang w:val="uk-UA"/>
        </w:rPr>
        <w:t>державне регулювання</w:t>
      </w:r>
      <w:r w:rsidR="00D053A9">
        <w:rPr>
          <w:sz w:val="28"/>
          <w:szCs w:val="28"/>
          <w:lang w:val="uk-UA"/>
        </w:rPr>
        <w:t xml:space="preserve"> у сфері зв’язку та інформатизації </w:t>
      </w:r>
      <w:r w:rsidR="00E365FE" w:rsidRPr="00811490">
        <w:rPr>
          <w:sz w:val="28"/>
          <w:szCs w:val="28"/>
          <w:lang w:val="uk-UA"/>
        </w:rPr>
        <w:t>(далі – НКРЗ</w:t>
      </w:r>
      <w:r w:rsidR="00E365FE">
        <w:rPr>
          <w:sz w:val="28"/>
          <w:szCs w:val="28"/>
          <w:lang w:val="uk-UA"/>
        </w:rPr>
        <w:t>І</w:t>
      </w:r>
      <w:r w:rsidR="00E365FE" w:rsidRPr="00811490">
        <w:rPr>
          <w:sz w:val="28"/>
          <w:szCs w:val="28"/>
          <w:lang w:val="uk-UA"/>
        </w:rPr>
        <w:t>)</w:t>
      </w:r>
      <w:r w:rsidR="00BF1C4A">
        <w:rPr>
          <w:sz w:val="28"/>
          <w:szCs w:val="28"/>
          <w:lang w:val="uk-UA"/>
        </w:rPr>
        <w:t>,</w:t>
      </w:r>
      <w:r w:rsidR="00E365FE" w:rsidRPr="00811490">
        <w:rPr>
          <w:sz w:val="28"/>
          <w:szCs w:val="28"/>
          <w:lang w:val="uk-UA"/>
        </w:rPr>
        <w:t xml:space="preserve"> </w:t>
      </w:r>
      <w:r w:rsidR="00E365FE" w:rsidRPr="004600AA">
        <w:rPr>
          <w:sz w:val="28"/>
          <w:szCs w:val="28"/>
          <w:lang w:val="uk-UA"/>
        </w:rPr>
        <w:t>здійснює контроль за якістю телекомунікаційних послуг та задоволенням попиту споживачів</w:t>
      </w:r>
      <w:r w:rsidR="00454478">
        <w:rPr>
          <w:sz w:val="28"/>
          <w:szCs w:val="28"/>
          <w:lang w:val="uk-UA"/>
        </w:rPr>
        <w:t xml:space="preserve"> </w:t>
      </w:r>
      <w:r w:rsidR="00454478" w:rsidRPr="00A408FB">
        <w:rPr>
          <w:sz w:val="28"/>
          <w:szCs w:val="28"/>
          <w:lang w:val="uk-UA"/>
        </w:rPr>
        <w:t xml:space="preserve">(пункт 6 частини першої </w:t>
      </w:r>
      <w:r w:rsidR="001C7C0B" w:rsidRPr="00A408FB">
        <w:rPr>
          <w:sz w:val="28"/>
          <w:szCs w:val="28"/>
          <w:lang w:val="uk-UA"/>
        </w:rPr>
        <w:t>статті 18 Закону)</w:t>
      </w:r>
      <w:r w:rsidR="00E365FE" w:rsidRPr="00A408FB">
        <w:rPr>
          <w:sz w:val="28"/>
          <w:szCs w:val="28"/>
          <w:lang w:val="uk-UA"/>
        </w:rPr>
        <w:t>.</w:t>
      </w:r>
    </w:p>
    <w:p w:rsidR="00B10D40" w:rsidRDefault="00A346DC" w:rsidP="00B10D40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2713C1">
        <w:rPr>
          <w:sz w:val="28"/>
          <w:szCs w:val="28"/>
          <w:lang w:val="uk-UA"/>
        </w:rPr>
        <w:t xml:space="preserve">гідно </w:t>
      </w:r>
      <w:r w:rsidR="00C87EE7">
        <w:rPr>
          <w:sz w:val="28"/>
          <w:szCs w:val="28"/>
          <w:lang w:val="uk-UA"/>
        </w:rPr>
        <w:t>і</w:t>
      </w:r>
      <w:r w:rsidR="006C0252">
        <w:rPr>
          <w:sz w:val="28"/>
          <w:szCs w:val="28"/>
          <w:lang w:val="uk-UA"/>
        </w:rPr>
        <w:t xml:space="preserve">з заходами </w:t>
      </w:r>
      <w:r w:rsidR="002713C1">
        <w:rPr>
          <w:sz w:val="28"/>
          <w:szCs w:val="28"/>
          <w:lang w:val="uk-UA"/>
        </w:rPr>
        <w:t>пункту 1 Плану передбачено</w:t>
      </w:r>
      <w:r w:rsidR="00FA7B5B">
        <w:rPr>
          <w:sz w:val="28"/>
          <w:szCs w:val="28"/>
          <w:lang w:val="uk-UA"/>
        </w:rPr>
        <w:t>:</w:t>
      </w:r>
      <w:r w:rsidR="00B10D40">
        <w:rPr>
          <w:sz w:val="28"/>
          <w:szCs w:val="28"/>
          <w:lang w:val="uk-UA"/>
        </w:rPr>
        <w:t xml:space="preserve"> </w:t>
      </w:r>
    </w:p>
    <w:p w:rsidR="006C0252" w:rsidRDefault="00A346DC" w:rsidP="00B10D40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затвердження</w:t>
      </w:r>
      <w:r w:rsidR="003A3A0A">
        <w:rPr>
          <w:sz w:val="28"/>
          <w:szCs w:val="28"/>
          <w:lang w:val="uk-UA"/>
        </w:rPr>
        <w:t xml:space="preserve"> </w:t>
      </w:r>
      <w:r w:rsidR="00041A5D">
        <w:rPr>
          <w:sz w:val="28"/>
          <w:szCs w:val="28"/>
          <w:lang w:val="uk-UA"/>
        </w:rPr>
        <w:t>оновленого</w:t>
      </w:r>
      <w:r w:rsidR="00A43E49">
        <w:rPr>
          <w:sz w:val="28"/>
          <w:szCs w:val="28"/>
          <w:lang w:val="uk-UA"/>
        </w:rPr>
        <w:t xml:space="preserve"> </w:t>
      </w:r>
      <w:r w:rsidR="00041A5D">
        <w:rPr>
          <w:sz w:val="28"/>
          <w:szCs w:val="28"/>
          <w:lang w:val="uk-UA"/>
        </w:rPr>
        <w:t>переліку п</w:t>
      </w:r>
      <w:r w:rsidR="003A3A0A" w:rsidRPr="007A0CBD">
        <w:rPr>
          <w:sz w:val="28"/>
          <w:szCs w:val="28"/>
          <w:lang w:val="uk-UA"/>
        </w:rPr>
        <w:t xml:space="preserve">оказників якості </w:t>
      </w:r>
      <w:r w:rsidR="00041A5D">
        <w:rPr>
          <w:sz w:val="28"/>
          <w:szCs w:val="28"/>
          <w:lang w:val="uk-UA"/>
        </w:rPr>
        <w:t xml:space="preserve">та їх граничних нормованих рівнів </w:t>
      </w:r>
      <w:r w:rsidR="00EA7856">
        <w:rPr>
          <w:sz w:val="28"/>
          <w:szCs w:val="28"/>
          <w:lang w:val="uk-UA"/>
        </w:rPr>
        <w:t xml:space="preserve">для послуг голосової телефонії, текстових повідомлень </w:t>
      </w:r>
      <w:r w:rsidR="00EA7856" w:rsidRPr="00EA7856">
        <w:rPr>
          <w:sz w:val="28"/>
          <w:szCs w:val="28"/>
          <w:lang w:val="uk-UA"/>
        </w:rPr>
        <w:t>(</w:t>
      </w:r>
      <w:r w:rsidR="00EA7856">
        <w:rPr>
          <w:sz w:val="28"/>
          <w:szCs w:val="28"/>
          <w:lang w:val="en-US"/>
        </w:rPr>
        <w:t>SMS</w:t>
      </w:r>
      <w:r w:rsidR="00EA7856" w:rsidRPr="00EA7856">
        <w:rPr>
          <w:sz w:val="28"/>
          <w:szCs w:val="28"/>
          <w:lang w:val="uk-UA"/>
        </w:rPr>
        <w:t xml:space="preserve">) </w:t>
      </w:r>
      <w:r w:rsidR="00EA7856">
        <w:rPr>
          <w:sz w:val="28"/>
          <w:szCs w:val="28"/>
          <w:lang w:val="uk-UA"/>
        </w:rPr>
        <w:t xml:space="preserve">та доступу до Інтернету </w:t>
      </w:r>
      <w:r w:rsidR="00041A5D">
        <w:rPr>
          <w:sz w:val="28"/>
          <w:szCs w:val="28"/>
          <w:lang w:val="uk-UA"/>
        </w:rPr>
        <w:t xml:space="preserve">в мережах </w:t>
      </w:r>
      <w:r w:rsidR="003A3A0A" w:rsidRPr="00DF0E31">
        <w:rPr>
          <w:bCs/>
          <w:sz w:val="28"/>
          <w:szCs w:val="28"/>
          <w:lang w:val="uk-UA"/>
        </w:rPr>
        <w:t>рухомого (мобільного)</w:t>
      </w:r>
      <w:r w:rsidR="003A3A0A">
        <w:rPr>
          <w:bCs/>
          <w:sz w:val="28"/>
          <w:szCs w:val="28"/>
          <w:lang w:val="uk-UA"/>
        </w:rPr>
        <w:t xml:space="preserve"> </w:t>
      </w:r>
      <w:r w:rsidR="003A3A0A" w:rsidRPr="007A0CBD">
        <w:rPr>
          <w:sz w:val="28"/>
          <w:szCs w:val="28"/>
          <w:lang w:val="uk-UA"/>
        </w:rPr>
        <w:t>зв’язку</w:t>
      </w:r>
      <w:r w:rsidR="006C2EAA">
        <w:rPr>
          <w:sz w:val="28"/>
          <w:szCs w:val="28"/>
          <w:lang w:val="uk-UA"/>
        </w:rPr>
        <w:t xml:space="preserve"> з доповненням</w:t>
      </w:r>
      <w:r w:rsidR="00A43E49">
        <w:rPr>
          <w:sz w:val="28"/>
          <w:szCs w:val="28"/>
          <w:lang w:val="uk-UA"/>
        </w:rPr>
        <w:t xml:space="preserve"> перелік</w:t>
      </w:r>
      <w:r w:rsidR="006C2EAA">
        <w:rPr>
          <w:sz w:val="28"/>
          <w:szCs w:val="28"/>
          <w:lang w:val="uk-UA"/>
        </w:rPr>
        <w:t>у</w:t>
      </w:r>
      <w:r w:rsidR="00041A5D">
        <w:rPr>
          <w:sz w:val="28"/>
          <w:szCs w:val="28"/>
          <w:lang w:val="uk-UA"/>
        </w:rPr>
        <w:t xml:space="preserve"> п</w:t>
      </w:r>
      <w:r w:rsidR="00A43E49">
        <w:rPr>
          <w:sz w:val="28"/>
          <w:szCs w:val="28"/>
          <w:lang w:val="uk-UA"/>
        </w:rPr>
        <w:t>оказників якості такими показниками:</w:t>
      </w:r>
      <w:r w:rsidR="006C0252">
        <w:rPr>
          <w:sz w:val="28"/>
          <w:szCs w:val="28"/>
          <w:lang w:val="uk-UA"/>
        </w:rPr>
        <w:t xml:space="preserve"> </w:t>
      </w:r>
      <w:r w:rsidR="00A43E49">
        <w:rPr>
          <w:sz w:val="28"/>
          <w:szCs w:val="28"/>
          <w:lang w:val="uk-UA"/>
        </w:rPr>
        <w:t>«середня швидкість передавання/приймання даних»</w:t>
      </w:r>
      <w:r w:rsidR="006C0252">
        <w:rPr>
          <w:sz w:val="28"/>
          <w:szCs w:val="28"/>
          <w:lang w:val="uk-UA"/>
        </w:rPr>
        <w:t xml:space="preserve">, </w:t>
      </w:r>
      <w:r w:rsidR="00A43E49">
        <w:rPr>
          <w:sz w:val="28"/>
          <w:szCs w:val="28"/>
          <w:lang w:val="uk-UA"/>
        </w:rPr>
        <w:t>«час затримки між пакетами відправлення та приймання»</w:t>
      </w:r>
      <w:r w:rsidR="006C0252">
        <w:rPr>
          <w:sz w:val="28"/>
          <w:szCs w:val="28"/>
          <w:lang w:val="uk-UA"/>
        </w:rPr>
        <w:t xml:space="preserve">, </w:t>
      </w:r>
      <w:r w:rsidR="00A43E49">
        <w:rPr>
          <w:sz w:val="28"/>
          <w:szCs w:val="28"/>
          <w:lang w:val="uk-UA"/>
        </w:rPr>
        <w:t>«варіація затримки пакетів»</w:t>
      </w:r>
      <w:r w:rsidR="006C0252">
        <w:rPr>
          <w:sz w:val="28"/>
          <w:szCs w:val="28"/>
          <w:lang w:val="uk-UA"/>
        </w:rPr>
        <w:t xml:space="preserve">, «втрата пакетів», </w:t>
      </w:r>
      <w:r w:rsidR="006C0252" w:rsidRPr="00041A5D">
        <w:rPr>
          <w:sz w:val="28"/>
          <w:szCs w:val="28"/>
          <w:lang w:val="uk-UA"/>
        </w:rPr>
        <w:t xml:space="preserve">«час </w:t>
      </w:r>
      <w:r w:rsidR="00C14637" w:rsidRPr="00041A5D">
        <w:rPr>
          <w:sz w:val="28"/>
          <w:szCs w:val="28"/>
          <w:lang w:val="uk-UA"/>
        </w:rPr>
        <w:t xml:space="preserve">очікування </w:t>
      </w:r>
      <w:r w:rsidR="006C0252" w:rsidRPr="00041A5D">
        <w:rPr>
          <w:sz w:val="28"/>
          <w:szCs w:val="28"/>
          <w:lang w:val="uk-UA"/>
        </w:rPr>
        <w:t>відповіді фахівця служби інформаційно-довідкового обслуговування оператора</w:t>
      </w:r>
      <w:r w:rsidR="00C14637" w:rsidRPr="00041A5D">
        <w:rPr>
          <w:sz w:val="28"/>
          <w:szCs w:val="28"/>
          <w:lang w:val="uk-UA"/>
        </w:rPr>
        <w:t xml:space="preserve"> телекомунікацій (починаючи з моменту свідомого вибору абонента)</w:t>
      </w:r>
      <w:r w:rsidR="006C0252" w:rsidRPr="00041A5D">
        <w:rPr>
          <w:sz w:val="28"/>
          <w:szCs w:val="28"/>
          <w:lang w:val="uk-UA"/>
        </w:rPr>
        <w:t>»</w:t>
      </w:r>
      <w:r w:rsidR="00EA7856">
        <w:rPr>
          <w:sz w:val="28"/>
          <w:szCs w:val="28"/>
          <w:lang w:val="uk-UA"/>
        </w:rPr>
        <w:t xml:space="preserve"> із встановленням граничних нормованих рівнів.</w:t>
      </w:r>
    </w:p>
    <w:p w:rsidR="00564ABC" w:rsidRDefault="00E9383E" w:rsidP="00BF1C4A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DD6855">
        <w:rPr>
          <w:sz w:val="28"/>
          <w:szCs w:val="28"/>
          <w:lang w:val="uk-UA"/>
        </w:rPr>
        <w:t>а результатами застосування операторами</w:t>
      </w:r>
      <w:r w:rsidR="00947B65">
        <w:rPr>
          <w:sz w:val="28"/>
          <w:szCs w:val="28"/>
          <w:lang w:val="uk-UA"/>
        </w:rPr>
        <w:t>, провайдерами</w:t>
      </w:r>
      <w:r w:rsidR="00DD6855">
        <w:rPr>
          <w:sz w:val="28"/>
          <w:szCs w:val="28"/>
          <w:lang w:val="uk-UA"/>
        </w:rPr>
        <w:t xml:space="preserve"> телекомунікацій та НКРЗІ </w:t>
      </w:r>
      <w:r>
        <w:rPr>
          <w:sz w:val="28"/>
          <w:szCs w:val="28"/>
          <w:lang w:val="uk-UA"/>
        </w:rPr>
        <w:t xml:space="preserve">Показників якості послуг рухомого (мобільного) зв’язку </w:t>
      </w:r>
      <w:r w:rsidRPr="007A0CBD">
        <w:rPr>
          <w:sz w:val="28"/>
          <w:szCs w:val="28"/>
          <w:lang w:val="uk-UA"/>
        </w:rPr>
        <w:t>та їх граничних нормованих рівні</w:t>
      </w:r>
      <w:r>
        <w:rPr>
          <w:sz w:val="28"/>
          <w:szCs w:val="28"/>
          <w:lang w:val="uk-UA"/>
        </w:rPr>
        <w:t xml:space="preserve">в </w:t>
      </w:r>
      <w:r w:rsidRPr="007A0CBD">
        <w:rPr>
          <w:sz w:val="28"/>
          <w:szCs w:val="28"/>
          <w:lang w:val="uk-UA"/>
        </w:rPr>
        <w:t>(далі – Показники</w:t>
      </w:r>
      <w:r>
        <w:rPr>
          <w:sz w:val="28"/>
          <w:szCs w:val="28"/>
          <w:lang w:val="uk-UA"/>
        </w:rPr>
        <w:t xml:space="preserve"> якості</w:t>
      </w:r>
      <w:r w:rsidRPr="007A0CBD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затверджених наказом </w:t>
      </w:r>
      <w:r w:rsidRPr="000E715E">
        <w:rPr>
          <w:sz w:val="28"/>
          <w:szCs w:val="28"/>
          <w:lang w:val="uk-UA"/>
        </w:rPr>
        <w:t>Міністерства транспорту</w:t>
      </w:r>
      <w:r>
        <w:rPr>
          <w:sz w:val="28"/>
          <w:szCs w:val="28"/>
          <w:lang w:val="uk-UA"/>
        </w:rPr>
        <w:t xml:space="preserve"> </w:t>
      </w:r>
      <w:r w:rsidRPr="000E715E">
        <w:rPr>
          <w:sz w:val="28"/>
          <w:szCs w:val="28"/>
          <w:lang w:val="uk-UA"/>
        </w:rPr>
        <w:t>та зв’язку України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 xml:space="preserve">від 19.03.2010 № 147, </w:t>
      </w:r>
      <w:r w:rsidR="00F10514">
        <w:rPr>
          <w:rStyle w:val="rvts0"/>
          <w:sz w:val="28"/>
          <w:szCs w:val="28"/>
          <w:lang w:val="uk-UA"/>
        </w:rPr>
        <w:t>зареєстрованих</w:t>
      </w:r>
      <w:r w:rsidRPr="00F17799">
        <w:rPr>
          <w:rStyle w:val="rvts0"/>
          <w:sz w:val="28"/>
          <w:szCs w:val="28"/>
          <w:lang w:val="uk-UA"/>
        </w:rPr>
        <w:t xml:space="preserve"> в Міністер</w:t>
      </w:r>
      <w:r>
        <w:rPr>
          <w:rStyle w:val="rvts0"/>
          <w:sz w:val="28"/>
          <w:szCs w:val="28"/>
          <w:lang w:val="uk-UA"/>
        </w:rPr>
        <w:t>стві юстиції України 06.04</w:t>
      </w:r>
      <w:r w:rsidRPr="00F17799">
        <w:rPr>
          <w:rStyle w:val="rvts0"/>
          <w:sz w:val="28"/>
          <w:szCs w:val="28"/>
          <w:lang w:val="uk-UA"/>
        </w:rPr>
        <w:t>.2010 з</w:t>
      </w:r>
      <w:r>
        <w:rPr>
          <w:rStyle w:val="rvts0"/>
          <w:sz w:val="28"/>
          <w:szCs w:val="28"/>
          <w:lang w:val="uk-UA"/>
        </w:rPr>
        <w:t xml:space="preserve">а № 277/17572 (далі – Наказ </w:t>
      </w:r>
      <w:r>
        <w:rPr>
          <w:sz w:val="28"/>
          <w:szCs w:val="28"/>
          <w:lang w:val="uk-UA"/>
        </w:rPr>
        <w:t>№ 147</w:t>
      </w:r>
      <w:r>
        <w:rPr>
          <w:rStyle w:val="rvts0"/>
          <w:sz w:val="28"/>
          <w:szCs w:val="28"/>
          <w:lang w:val="uk-UA"/>
        </w:rPr>
        <w:t>)</w:t>
      </w:r>
      <w:r w:rsidR="00F10514">
        <w:rPr>
          <w:rStyle w:val="rvts0"/>
          <w:sz w:val="28"/>
          <w:szCs w:val="28"/>
          <w:lang w:val="uk-UA"/>
        </w:rPr>
        <w:t>,</w:t>
      </w:r>
      <w:r w:rsidR="00626AD2">
        <w:rPr>
          <w:sz w:val="28"/>
          <w:szCs w:val="28"/>
          <w:lang w:val="uk-UA"/>
        </w:rPr>
        <w:t xml:space="preserve"> з часу набрання </w:t>
      </w:r>
      <w:r w:rsidR="006C2EAA">
        <w:rPr>
          <w:sz w:val="28"/>
          <w:szCs w:val="28"/>
          <w:lang w:val="uk-UA"/>
        </w:rPr>
        <w:t>ним</w:t>
      </w:r>
      <w:r w:rsidR="00626AD2">
        <w:rPr>
          <w:sz w:val="28"/>
          <w:szCs w:val="28"/>
          <w:lang w:val="uk-UA"/>
        </w:rPr>
        <w:t xml:space="preserve"> чинності</w:t>
      </w:r>
      <w:r w:rsidR="00DD6855">
        <w:rPr>
          <w:sz w:val="28"/>
          <w:szCs w:val="28"/>
          <w:lang w:val="uk-UA"/>
        </w:rPr>
        <w:t xml:space="preserve"> надійшли пропозиції щодо внесення змін </w:t>
      </w:r>
      <w:r w:rsidR="003A3A0A">
        <w:rPr>
          <w:sz w:val="28"/>
          <w:szCs w:val="28"/>
          <w:lang w:val="uk-UA"/>
        </w:rPr>
        <w:t>до Показників</w:t>
      </w:r>
      <w:r w:rsidR="00864B4D">
        <w:rPr>
          <w:sz w:val="28"/>
          <w:szCs w:val="28"/>
          <w:lang w:val="uk-UA"/>
        </w:rPr>
        <w:t xml:space="preserve"> якості</w:t>
      </w:r>
      <w:r w:rsidR="003A3A0A">
        <w:rPr>
          <w:sz w:val="28"/>
          <w:szCs w:val="28"/>
          <w:lang w:val="uk-UA"/>
        </w:rPr>
        <w:t>.</w:t>
      </w:r>
    </w:p>
    <w:p w:rsidR="00FB4C6E" w:rsidRDefault="00E9383E" w:rsidP="00FB4C6E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406237" w:rsidRPr="00406237">
        <w:rPr>
          <w:sz w:val="28"/>
          <w:szCs w:val="28"/>
          <w:lang w:val="uk-UA"/>
        </w:rPr>
        <w:t>адійшли пропозиції щодо врахування неможливості відновлення в одноденний строк надання телекомунікаційних послуг у разі настання надзвичайних ситуацій, аварій, викрадення чи пошкодження лінійних та станційних споруд, що зафіксовано у правоохоронних органах у встановленому законодавством порядку</w:t>
      </w:r>
      <w:r w:rsidR="00406237">
        <w:rPr>
          <w:sz w:val="28"/>
          <w:szCs w:val="28"/>
          <w:lang w:val="uk-UA"/>
        </w:rPr>
        <w:t>, та застосування</w:t>
      </w:r>
      <w:r w:rsidR="00406237" w:rsidRPr="00B10D40">
        <w:rPr>
          <w:sz w:val="28"/>
          <w:szCs w:val="28"/>
          <w:lang w:val="uk-UA"/>
        </w:rPr>
        <w:t xml:space="preserve"> методів випробування якості послуг, визначених</w:t>
      </w:r>
      <w:r w:rsidR="00406237">
        <w:rPr>
          <w:sz w:val="28"/>
          <w:szCs w:val="28"/>
          <w:lang w:val="uk-UA"/>
        </w:rPr>
        <w:t xml:space="preserve"> ДСТУ ETSI </w:t>
      </w:r>
      <w:r w:rsidR="00406237" w:rsidRPr="00B10D40">
        <w:rPr>
          <w:sz w:val="28"/>
          <w:szCs w:val="28"/>
          <w:lang w:val="uk-UA"/>
        </w:rPr>
        <w:t>EG</w:t>
      </w:r>
      <w:r w:rsidR="00406237">
        <w:rPr>
          <w:sz w:val="28"/>
          <w:szCs w:val="28"/>
          <w:lang w:val="uk-UA"/>
        </w:rPr>
        <w:t> </w:t>
      </w:r>
      <w:r w:rsidR="00406237" w:rsidRPr="00B10D40">
        <w:rPr>
          <w:sz w:val="28"/>
          <w:szCs w:val="28"/>
          <w:lang w:val="uk-UA"/>
        </w:rPr>
        <w:t>202</w:t>
      </w:r>
      <w:r w:rsidR="00406237">
        <w:rPr>
          <w:sz w:val="28"/>
          <w:szCs w:val="28"/>
          <w:lang w:val="uk-UA"/>
        </w:rPr>
        <w:t> </w:t>
      </w:r>
      <w:r w:rsidR="00406237" w:rsidRPr="00B10D40">
        <w:rPr>
          <w:sz w:val="28"/>
          <w:szCs w:val="28"/>
          <w:lang w:val="uk-UA"/>
        </w:rPr>
        <w:t>057.</w:t>
      </w:r>
      <w:r w:rsidR="00FB4C6E">
        <w:rPr>
          <w:sz w:val="28"/>
          <w:szCs w:val="28"/>
          <w:lang w:val="uk-UA"/>
        </w:rPr>
        <w:t xml:space="preserve"> </w:t>
      </w:r>
    </w:p>
    <w:p w:rsidR="00D35038" w:rsidRDefault="00E365FE" w:rsidP="00FB4C6E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 w:rsidRPr="00935068">
        <w:rPr>
          <w:rStyle w:val="rvts0"/>
          <w:sz w:val="28"/>
          <w:szCs w:val="28"/>
          <w:lang w:val="uk-UA"/>
        </w:rPr>
        <w:lastRenderedPageBreak/>
        <w:t>У Законі визначено, що</w:t>
      </w:r>
      <w:r w:rsidRPr="00935068">
        <w:rPr>
          <w:color w:val="000000"/>
          <w:sz w:val="28"/>
          <w:szCs w:val="28"/>
          <w:lang w:val="uk-UA"/>
        </w:rPr>
        <w:t xml:space="preserve"> відповідальність операторів,</w:t>
      </w:r>
      <w:r w:rsidRPr="00935068">
        <w:rPr>
          <w:rStyle w:val="rvts0"/>
          <w:sz w:val="28"/>
          <w:szCs w:val="28"/>
          <w:lang w:val="uk-UA"/>
        </w:rPr>
        <w:t xml:space="preserve"> </w:t>
      </w:r>
      <w:r w:rsidRPr="00935068">
        <w:rPr>
          <w:color w:val="000000"/>
          <w:sz w:val="28"/>
          <w:szCs w:val="28"/>
          <w:lang w:val="uk-UA"/>
        </w:rPr>
        <w:t xml:space="preserve">провайдерів телекомунікацій </w:t>
      </w:r>
      <w:r w:rsidRPr="00935068">
        <w:rPr>
          <w:rStyle w:val="rvts0"/>
          <w:sz w:val="28"/>
          <w:szCs w:val="28"/>
          <w:lang w:val="uk-UA"/>
        </w:rPr>
        <w:t xml:space="preserve">настає </w:t>
      </w:r>
      <w:r w:rsidRPr="00935068">
        <w:rPr>
          <w:color w:val="000000"/>
          <w:sz w:val="28"/>
          <w:szCs w:val="28"/>
          <w:lang w:val="uk-UA"/>
        </w:rPr>
        <w:t xml:space="preserve">у разі неусунення </w:t>
      </w:r>
      <w:r w:rsidR="00626AD2" w:rsidRPr="00935068">
        <w:rPr>
          <w:color w:val="000000"/>
          <w:sz w:val="28"/>
          <w:szCs w:val="28"/>
          <w:lang w:val="uk-UA"/>
        </w:rPr>
        <w:t xml:space="preserve">пошкодження телекомунікаційної мережі </w:t>
      </w:r>
      <w:r w:rsidRPr="00935068">
        <w:rPr>
          <w:color w:val="000000"/>
          <w:sz w:val="28"/>
          <w:szCs w:val="28"/>
          <w:lang w:val="uk-UA"/>
        </w:rPr>
        <w:t>протягом однієї доби із зафіксованого моменту</w:t>
      </w:r>
      <w:r w:rsidR="00C87EE7">
        <w:rPr>
          <w:color w:val="000000"/>
          <w:sz w:val="28"/>
          <w:szCs w:val="28"/>
          <w:lang w:val="uk-UA"/>
        </w:rPr>
        <w:t xml:space="preserve"> такого пошкодження, що і </w:t>
      </w:r>
      <w:r w:rsidR="00C87EE7" w:rsidRPr="00935068">
        <w:rPr>
          <w:sz w:val="28"/>
          <w:szCs w:val="28"/>
          <w:lang w:val="uk-UA"/>
        </w:rPr>
        <w:t xml:space="preserve">встановлено </w:t>
      </w:r>
      <w:r w:rsidR="008B3D55" w:rsidRPr="00935068">
        <w:rPr>
          <w:sz w:val="28"/>
          <w:szCs w:val="28"/>
          <w:lang w:val="uk-UA"/>
        </w:rPr>
        <w:t>П</w:t>
      </w:r>
      <w:r w:rsidR="007856D1" w:rsidRPr="00935068">
        <w:rPr>
          <w:sz w:val="28"/>
          <w:szCs w:val="28"/>
          <w:lang w:val="uk-UA"/>
        </w:rPr>
        <w:t xml:space="preserve">оказниками </w:t>
      </w:r>
      <w:r w:rsidR="008B3D55" w:rsidRPr="00935068">
        <w:rPr>
          <w:sz w:val="28"/>
          <w:szCs w:val="28"/>
          <w:lang w:val="uk-UA"/>
        </w:rPr>
        <w:t>якості</w:t>
      </w:r>
      <w:r w:rsidR="00C87EE7">
        <w:rPr>
          <w:sz w:val="28"/>
          <w:szCs w:val="28"/>
          <w:lang w:val="uk-UA"/>
        </w:rPr>
        <w:t xml:space="preserve"> Наказу №</w:t>
      </w:r>
      <w:r w:rsidR="002916AC">
        <w:rPr>
          <w:sz w:val="28"/>
          <w:szCs w:val="28"/>
          <w:lang w:val="uk-UA"/>
        </w:rPr>
        <w:t> </w:t>
      </w:r>
      <w:r w:rsidR="00C87EE7">
        <w:rPr>
          <w:sz w:val="28"/>
          <w:szCs w:val="28"/>
          <w:lang w:val="uk-UA"/>
        </w:rPr>
        <w:t>147.</w:t>
      </w:r>
    </w:p>
    <w:p w:rsidR="00B843DB" w:rsidRPr="007C7434" w:rsidRDefault="00351E66" w:rsidP="00264AF6">
      <w:pPr>
        <w:ind w:firstLine="743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Водночас</w:t>
      </w:r>
      <w:r w:rsidR="002916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</w:t>
      </w:r>
      <w:r w:rsidR="002916AC">
        <w:rPr>
          <w:sz w:val="28"/>
          <w:szCs w:val="28"/>
          <w:lang w:val="uk-UA"/>
        </w:rPr>
        <w:t xml:space="preserve"> </w:t>
      </w:r>
      <w:r w:rsidR="00935068" w:rsidRPr="0093506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="002916AC">
        <w:rPr>
          <w:sz w:val="28"/>
          <w:szCs w:val="28"/>
          <w:lang w:val="uk-UA"/>
        </w:rPr>
        <w:t xml:space="preserve"> Законом </w:t>
      </w:r>
      <w:r w:rsidR="00426C08">
        <w:rPr>
          <w:sz w:val="28"/>
          <w:szCs w:val="28"/>
          <w:lang w:val="uk-UA"/>
        </w:rPr>
        <w:t xml:space="preserve">оператори, </w:t>
      </w:r>
      <w:r w:rsidR="00E365FE" w:rsidRPr="00935068">
        <w:rPr>
          <w:sz w:val="28"/>
          <w:szCs w:val="28"/>
          <w:lang w:val="uk-UA"/>
        </w:rPr>
        <w:t xml:space="preserve">провайдери телекомунікацій не несуть майнової відповідальності перед споживачами телекомунікаційних послуг за невиконання чи неналежне виконання зобов’язань з надання телекомунікаційних послуг унаслідок дії непереборної сили, викрадання чи пошкодження зловмисниками лінійних та станційних споруд, що використовуються оператором телекомунікацій. </w:t>
      </w:r>
      <w:r w:rsidR="00B16A82" w:rsidRPr="00935068">
        <w:rPr>
          <w:sz w:val="28"/>
          <w:szCs w:val="28"/>
          <w:lang w:val="uk-UA"/>
        </w:rPr>
        <w:t>Ці</w:t>
      </w:r>
      <w:r w:rsidR="00E365FE" w:rsidRPr="00935068">
        <w:rPr>
          <w:sz w:val="28"/>
          <w:szCs w:val="28"/>
          <w:lang w:val="uk-UA"/>
        </w:rPr>
        <w:t xml:space="preserve"> </w:t>
      </w:r>
      <w:r w:rsidR="00B16A82" w:rsidRPr="00935068">
        <w:rPr>
          <w:sz w:val="28"/>
          <w:szCs w:val="28"/>
          <w:lang w:val="uk-UA"/>
        </w:rPr>
        <w:t>умови</w:t>
      </w:r>
      <w:r w:rsidR="00E365FE" w:rsidRPr="00935068">
        <w:rPr>
          <w:sz w:val="28"/>
          <w:szCs w:val="28"/>
          <w:lang w:val="uk-UA"/>
        </w:rPr>
        <w:t xml:space="preserve"> у</w:t>
      </w:r>
      <w:r w:rsidR="00AA589E" w:rsidRPr="00935068">
        <w:rPr>
          <w:sz w:val="28"/>
          <w:szCs w:val="28"/>
          <w:lang w:val="uk-UA"/>
        </w:rPr>
        <w:t xml:space="preserve"> Показниках</w:t>
      </w:r>
      <w:r w:rsidR="008B3D55" w:rsidRPr="00935068">
        <w:rPr>
          <w:sz w:val="28"/>
          <w:szCs w:val="28"/>
          <w:lang w:val="uk-UA"/>
        </w:rPr>
        <w:t xml:space="preserve"> якості</w:t>
      </w:r>
      <w:r w:rsidR="00B16A82" w:rsidRPr="00935068">
        <w:rPr>
          <w:sz w:val="28"/>
          <w:szCs w:val="28"/>
          <w:lang w:val="uk-UA"/>
        </w:rPr>
        <w:t xml:space="preserve"> </w:t>
      </w:r>
      <w:r w:rsidR="00E365FE" w:rsidRPr="00935068">
        <w:rPr>
          <w:sz w:val="28"/>
          <w:szCs w:val="28"/>
          <w:lang w:val="uk-UA"/>
        </w:rPr>
        <w:t xml:space="preserve">однозначно не </w:t>
      </w:r>
      <w:r w:rsidR="00B16A82" w:rsidRPr="00935068">
        <w:rPr>
          <w:sz w:val="28"/>
          <w:szCs w:val="28"/>
          <w:lang w:val="uk-UA"/>
        </w:rPr>
        <w:t>визначено</w:t>
      </w:r>
      <w:r w:rsidR="00626AD2" w:rsidRPr="004A3BBB">
        <w:rPr>
          <w:sz w:val="28"/>
          <w:szCs w:val="28"/>
          <w:lang w:val="uk-UA"/>
        </w:rPr>
        <w:t>,</w:t>
      </w:r>
      <w:r w:rsidR="00B843DB" w:rsidRPr="004A3BBB">
        <w:rPr>
          <w:sz w:val="28"/>
          <w:szCs w:val="28"/>
          <w:lang w:val="uk-UA"/>
        </w:rPr>
        <w:t xml:space="preserve"> тому існує необхідність </w:t>
      </w:r>
      <w:r w:rsidR="007C7434">
        <w:rPr>
          <w:sz w:val="28"/>
          <w:szCs w:val="28"/>
          <w:lang w:val="uk-UA"/>
        </w:rPr>
        <w:t xml:space="preserve">виключення </w:t>
      </w:r>
      <w:r w:rsidR="00B843DB" w:rsidRPr="004A3BBB">
        <w:rPr>
          <w:sz w:val="28"/>
          <w:szCs w:val="28"/>
          <w:lang w:val="uk-UA"/>
        </w:rPr>
        <w:t xml:space="preserve">відповідальності операторів, провайдерів телекомунікацій за </w:t>
      </w:r>
      <w:r w:rsidR="00EE4161" w:rsidRPr="004A3BBB">
        <w:rPr>
          <w:sz w:val="28"/>
          <w:szCs w:val="28"/>
          <w:lang w:val="uk-UA"/>
        </w:rPr>
        <w:t>недотримання Вимог</w:t>
      </w:r>
      <w:r w:rsidR="00B843DB" w:rsidRPr="004A3BBB">
        <w:rPr>
          <w:sz w:val="28"/>
          <w:szCs w:val="28"/>
          <w:lang w:val="uk-UA"/>
        </w:rPr>
        <w:t>, у тому числі за неможливість забезпечення надання послуг</w:t>
      </w:r>
      <w:r w:rsidR="00EE4161" w:rsidRPr="004A3BBB">
        <w:rPr>
          <w:sz w:val="28"/>
          <w:szCs w:val="28"/>
          <w:lang w:val="uk-UA"/>
        </w:rPr>
        <w:t xml:space="preserve"> </w:t>
      </w:r>
      <w:r w:rsidR="00EA0555">
        <w:rPr>
          <w:sz w:val="28"/>
          <w:szCs w:val="28"/>
          <w:lang w:val="uk-UA"/>
        </w:rPr>
        <w:t>рухомого (мобільного)</w:t>
      </w:r>
      <w:r w:rsidR="00EE4161" w:rsidRPr="004A3BBB">
        <w:rPr>
          <w:sz w:val="28"/>
          <w:szCs w:val="28"/>
          <w:lang w:val="uk-UA"/>
        </w:rPr>
        <w:t xml:space="preserve"> зв’</w:t>
      </w:r>
      <w:r w:rsidR="007C7434">
        <w:rPr>
          <w:sz w:val="28"/>
          <w:szCs w:val="28"/>
          <w:lang w:val="uk-UA"/>
        </w:rPr>
        <w:t>язку встановленого рівня якості, у зазначених випадках.</w:t>
      </w:r>
    </w:p>
    <w:p w:rsidR="00264AF6" w:rsidRPr="00264AF6" w:rsidRDefault="00EE4161" w:rsidP="00264AF6">
      <w:pPr>
        <w:ind w:firstLine="743"/>
        <w:jc w:val="both"/>
        <w:outlineLvl w:val="0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Таким чином, </w:t>
      </w:r>
      <w:r w:rsidR="00E365FE" w:rsidRPr="00935068">
        <w:rPr>
          <w:sz w:val="28"/>
          <w:szCs w:val="28"/>
          <w:lang w:val="uk-UA"/>
        </w:rPr>
        <w:t xml:space="preserve">формулювання </w:t>
      </w:r>
      <w:r w:rsidR="009D5CFD">
        <w:rPr>
          <w:sz w:val="28"/>
          <w:szCs w:val="28"/>
          <w:lang w:val="uk-UA"/>
        </w:rPr>
        <w:t>примітки</w:t>
      </w:r>
      <w:r w:rsidR="00E365FE" w:rsidRPr="00935068">
        <w:rPr>
          <w:sz w:val="28"/>
          <w:szCs w:val="28"/>
          <w:lang w:val="uk-UA"/>
        </w:rPr>
        <w:t xml:space="preserve"> до </w:t>
      </w:r>
      <w:r w:rsidR="008B3D55" w:rsidRPr="00935068">
        <w:rPr>
          <w:sz w:val="28"/>
          <w:szCs w:val="28"/>
          <w:lang w:val="uk-UA"/>
        </w:rPr>
        <w:t>П</w:t>
      </w:r>
      <w:r w:rsidR="002A4F2F" w:rsidRPr="00935068">
        <w:rPr>
          <w:sz w:val="28"/>
          <w:szCs w:val="28"/>
          <w:lang w:val="uk-UA"/>
        </w:rPr>
        <w:t>оказників якості</w:t>
      </w:r>
      <w:r w:rsidR="001E110A">
        <w:rPr>
          <w:sz w:val="28"/>
          <w:szCs w:val="28"/>
          <w:lang w:val="uk-UA"/>
        </w:rPr>
        <w:t xml:space="preserve"> </w:t>
      </w:r>
      <w:r w:rsidR="00264AF6">
        <w:rPr>
          <w:sz w:val="28"/>
          <w:szCs w:val="28"/>
          <w:lang w:val="uk-UA"/>
        </w:rPr>
        <w:t>пропонується узгодити із нормами</w:t>
      </w:r>
      <w:r w:rsidR="00E365FE" w:rsidRPr="00935068">
        <w:rPr>
          <w:sz w:val="28"/>
          <w:szCs w:val="28"/>
          <w:lang w:val="uk-UA"/>
        </w:rPr>
        <w:t xml:space="preserve"> Закону</w:t>
      </w:r>
      <w:r w:rsidR="00264AF6">
        <w:rPr>
          <w:sz w:val="28"/>
          <w:szCs w:val="28"/>
          <w:lang w:val="uk-UA"/>
        </w:rPr>
        <w:t xml:space="preserve"> та визначити</w:t>
      </w:r>
      <w:r w:rsidR="00760481">
        <w:rPr>
          <w:sz w:val="28"/>
          <w:szCs w:val="28"/>
          <w:lang w:val="uk-UA"/>
        </w:rPr>
        <w:t xml:space="preserve"> у Вимогах</w:t>
      </w:r>
      <w:r w:rsidR="00264AF6">
        <w:rPr>
          <w:sz w:val="28"/>
          <w:szCs w:val="28"/>
          <w:lang w:val="uk-UA"/>
        </w:rPr>
        <w:t xml:space="preserve">, що </w:t>
      </w:r>
      <w:r w:rsidR="00264AF6" w:rsidRPr="00264AF6">
        <w:rPr>
          <w:sz w:val="28"/>
          <w:szCs w:val="28"/>
          <w:lang w:val="uk-UA"/>
        </w:rPr>
        <w:t>р</w:t>
      </w:r>
      <w:r w:rsidR="00264AF6" w:rsidRPr="00264AF6">
        <w:rPr>
          <w:color w:val="000000" w:themeColor="text1"/>
          <w:sz w:val="28"/>
          <w:szCs w:val="28"/>
          <w:lang w:val="uk-UA"/>
        </w:rPr>
        <w:t xml:space="preserve">езультати вимірювання </w:t>
      </w:r>
      <w:r w:rsidR="00D053A9">
        <w:rPr>
          <w:color w:val="000000" w:themeColor="text1"/>
          <w:sz w:val="28"/>
          <w:szCs w:val="28"/>
          <w:lang w:val="uk-UA"/>
        </w:rPr>
        <w:t>показників</w:t>
      </w:r>
      <w:r w:rsidR="00264AF6" w:rsidRPr="00264AF6">
        <w:rPr>
          <w:color w:val="000000" w:themeColor="text1"/>
          <w:sz w:val="28"/>
          <w:szCs w:val="28"/>
          <w:lang w:val="uk-UA"/>
        </w:rPr>
        <w:t xml:space="preserve"> якості послуг </w:t>
      </w:r>
      <w:r w:rsidR="00EA0555">
        <w:rPr>
          <w:sz w:val="28"/>
          <w:szCs w:val="28"/>
          <w:lang w:val="uk-UA"/>
        </w:rPr>
        <w:t>рухомого (мобільного)</w:t>
      </w:r>
      <w:r w:rsidR="00EA0555" w:rsidRPr="004A3BBB">
        <w:rPr>
          <w:sz w:val="28"/>
          <w:szCs w:val="28"/>
          <w:lang w:val="uk-UA"/>
        </w:rPr>
        <w:t xml:space="preserve"> зв’</w:t>
      </w:r>
      <w:r w:rsidR="00EA0555">
        <w:rPr>
          <w:sz w:val="28"/>
          <w:szCs w:val="28"/>
          <w:lang w:val="uk-UA"/>
        </w:rPr>
        <w:t xml:space="preserve">язку </w:t>
      </w:r>
      <w:r w:rsidR="00264AF6" w:rsidRPr="00264AF6">
        <w:rPr>
          <w:color w:val="000000" w:themeColor="text1"/>
          <w:sz w:val="28"/>
          <w:szCs w:val="28"/>
          <w:lang w:val="uk-UA"/>
        </w:rPr>
        <w:t>у разі викрадення чи пошкодження лінійних та станційних споруд, що зафіксовано в правоохоронних органах у встановленому законодавством порядку, а також</w:t>
      </w:r>
      <w:r w:rsidR="00CC28AD">
        <w:rPr>
          <w:color w:val="000000" w:themeColor="text1"/>
          <w:sz w:val="28"/>
          <w:szCs w:val="28"/>
          <w:lang w:val="uk-UA"/>
        </w:rPr>
        <w:t xml:space="preserve"> надзвичайних ситуацій, аварій </w:t>
      </w:r>
      <w:r w:rsidR="00264AF6">
        <w:rPr>
          <w:color w:val="000000" w:themeColor="text1"/>
          <w:sz w:val="28"/>
          <w:szCs w:val="28"/>
          <w:lang w:val="uk-UA"/>
        </w:rPr>
        <w:t>не враховуються.</w:t>
      </w:r>
    </w:p>
    <w:p w:rsidR="00D053A9" w:rsidRDefault="00E365FE" w:rsidP="00296BB1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 w:rsidRPr="00264AF6">
        <w:rPr>
          <w:sz w:val="28"/>
          <w:szCs w:val="28"/>
          <w:lang w:val="uk-UA"/>
        </w:rPr>
        <w:t xml:space="preserve">Також у </w:t>
      </w:r>
      <w:r w:rsidR="00264AF6" w:rsidRPr="00264AF6">
        <w:rPr>
          <w:sz w:val="28"/>
          <w:szCs w:val="28"/>
          <w:lang w:val="uk-UA"/>
        </w:rPr>
        <w:t>П</w:t>
      </w:r>
      <w:r w:rsidR="00CC28AD">
        <w:rPr>
          <w:sz w:val="28"/>
          <w:szCs w:val="28"/>
          <w:lang w:val="uk-UA"/>
        </w:rPr>
        <w:t>оказниках якості</w:t>
      </w:r>
      <w:r w:rsidR="00264AF6" w:rsidRPr="00264AF6">
        <w:rPr>
          <w:sz w:val="28"/>
          <w:szCs w:val="28"/>
          <w:lang w:val="uk-UA"/>
        </w:rPr>
        <w:t xml:space="preserve"> </w:t>
      </w:r>
      <w:r w:rsidR="00F863C8" w:rsidRPr="00264AF6">
        <w:rPr>
          <w:sz w:val="28"/>
          <w:szCs w:val="28"/>
          <w:lang w:val="uk-UA"/>
        </w:rPr>
        <w:t>вживається</w:t>
      </w:r>
      <w:r w:rsidRPr="00264AF6">
        <w:rPr>
          <w:sz w:val="28"/>
          <w:szCs w:val="28"/>
          <w:lang w:val="uk-UA"/>
        </w:rPr>
        <w:t xml:space="preserve"> </w:t>
      </w:r>
      <w:r w:rsidR="001E110A">
        <w:rPr>
          <w:sz w:val="28"/>
          <w:szCs w:val="28"/>
          <w:lang w:val="uk-UA"/>
        </w:rPr>
        <w:t>термін</w:t>
      </w:r>
      <w:r w:rsidR="00E20B6F">
        <w:rPr>
          <w:sz w:val="28"/>
          <w:szCs w:val="28"/>
          <w:lang w:val="uk-UA"/>
        </w:rPr>
        <w:t xml:space="preserve"> «надзвичайні умови», який</w:t>
      </w:r>
      <w:r w:rsidRPr="00264AF6">
        <w:rPr>
          <w:sz w:val="28"/>
          <w:szCs w:val="28"/>
          <w:lang w:val="uk-UA"/>
        </w:rPr>
        <w:t xml:space="preserve"> чинним законодавством не визначено</w:t>
      </w:r>
      <w:r w:rsidR="00D053A9">
        <w:rPr>
          <w:sz w:val="28"/>
          <w:szCs w:val="28"/>
          <w:lang w:val="uk-UA"/>
        </w:rPr>
        <w:t>.</w:t>
      </w:r>
    </w:p>
    <w:p w:rsidR="00E365FE" w:rsidRDefault="00E365FE" w:rsidP="00296BB1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 w:rsidRPr="00264AF6">
        <w:rPr>
          <w:sz w:val="28"/>
          <w:szCs w:val="28"/>
          <w:lang w:val="uk-UA"/>
        </w:rPr>
        <w:t>У зв’язку з наведеним оцінка дотримання операторами, провайдерами</w:t>
      </w:r>
      <w:r w:rsidR="0055096D">
        <w:rPr>
          <w:sz w:val="28"/>
          <w:szCs w:val="28"/>
          <w:lang w:val="uk-UA"/>
        </w:rPr>
        <w:t xml:space="preserve"> телекомунікацій</w:t>
      </w:r>
      <w:r w:rsidRPr="00264AF6">
        <w:rPr>
          <w:sz w:val="28"/>
          <w:szCs w:val="28"/>
          <w:lang w:val="uk-UA"/>
        </w:rPr>
        <w:t xml:space="preserve"> рівнів показників якості</w:t>
      </w:r>
      <w:r w:rsidRPr="00264AF6">
        <w:rPr>
          <w:i/>
          <w:color w:val="7030A0"/>
          <w:sz w:val="28"/>
          <w:szCs w:val="28"/>
          <w:lang w:val="uk-UA"/>
        </w:rPr>
        <w:t xml:space="preserve"> </w:t>
      </w:r>
      <w:r w:rsidRPr="00264AF6">
        <w:rPr>
          <w:sz w:val="28"/>
          <w:szCs w:val="28"/>
          <w:lang w:val="uk-UA"/>
        </w:rPr>
        <w:t xml:space="preserve">послуг </w:t>
      </w:r>
      <w:r w:rsidR="00096E8F">
        <w:rPr>
          <w:sz w:val="28"/>
          <w:szCs w:val="28"/>
          <w:lang w:val="uk-UA"/>
        </w:rPr>
        <w:t>рухомого (мобільного)</w:t>
      </w:r>
      <w:r w:rsidR="00096E8F" w:rsidRPr="004A3BBB">
        <w:rPr>
          <w:sz w:val="28"/>
          <w:szCs w:val="28"/>
          <w:lang w:val="uk-UA"/>
        </w:rPr>
        <w:t xml:space="preserve"> зв’</w:t>
      </w:r>
      <w:r w:rsidR="00096E8F">
        <w:rPr>
          <w:sz w:val="28"/>
          <w:szCs w:val="28"/>
          <w:lang w:val="uk-UA"/>
        </w:rPr>
        <w:t>язку</w:t>
      </w:r>
      <w:r w:rsidRPr="00264AF6">
        <w:rPr>
          <w:sz w:val="28"/>
          <w:szCs w:val="28"/>
          <w:lang w:val="uk-UA"/>
        </w:rPr>
        <w:t xml:space="preserve"> ускладнюється через неоднозначність визначення умов застосування (вимірювання) показників якості. Це </w:t>
      </w:r>
      <w:r w:rsidR="002435B5" w:rsidRPr="00264AF6">
        <w:rPr>
          <w:sz w:val="28"/>
          <w:szCs w:val="28"/>
          <w:lang w:val="uk-UA"/>
        </w:rPr>
        <w:t>не дає можливості</w:t>
      </w:r>
      <w:r w:rsidRPr="00264AF6">
        <w:rPr>
          <w:sz w:val="28"/>
          <w:szCs w:val="28"/>
          <w:lang w:val="uk-UA"/>
        </w:rPr>
        <w:t xml:space="preserve"> </w:t>
      </w:r>
      <w:r w:rsidR="002435B5" w:rsidRPr="00264AF6">
        <w:rPr>
          <w:sz w:val="28"/>
          <w:szCs w:val="28"/>
          <w:lang w:val="uk-UA"/>
        </w:rPr>
        <w:t>органам</w:t>
      </w:r>
      <w:r w:rsidR="00CC28AD">
        <w:rPr>
          <w:sz w:val="28"/>
          <w:szCs w:val="28"/>
          <w:lang w:val="uk-UA"/>
        </w:rPr>
        <w:t>,</w:t>
      </w:r>
      <w:r w:rsidRPr="00264AF6">
        <w:rPr>
          <w:sz w:val="28"/>
          <w:szCs w:val="28"/>
          <w:lang w:val="uk-UA"/>
        </w:rPr>
        <w:t xml:space="preserve"> </w:t>
      </w:r>
      <w:r w:rsidR="000670E6" w:rsidRPr="00264AF6">
        <w:rPr>
          <w:sz w:val="28"/>
          <w:szCs w:val="28"/>
          <w:lang w:val="uk-UA"/>
        </w:rPr>
        <w:t xml:space="preserve">що </w:t>
      </w:r>
      <w:r w:rsidR="002435B5" w:rsidRPr="00264AF6">
        <w:rPr>
          <w:sz w:val="28"/>
          <w:szCs w:val="28"/>
          <w:lang w:val="uk-UA"/>
        </w:rPr>
        <w:t>здійснюють</w:t>
      </w:r>
      <w:r w:rsidR="000670E6" w:rsidRPr="00264AF6">
        <w:rPr>
          <w:sz w:val="28"/>
          <w:szCs w:val="28"/>
          <w:lang w:val="uk-UA"/>
        </w:rPr>
        <w:t xml:space="preserve"> контроль за якістю телекомунікаційних послуг</w:t>
      </w:r>
      <w:r w:rsidR="00CC28AD">
        <w:rPr>
          <w:sz w:val="28"/>
          <w:szCs w:val="28"/>
          <w:lang w:val="uk-UA"/>
        </w:rPr>
        <w:t>,</w:t>
      </w:r>
      <w:r w:rsidR="000670E6" w:rsidRPr="00264AF6">
        <w:rPr>
          <w:sz w:val="28"/>
          <w:szCs w:val="28"/>
          <w:lang w:val="uk-UA"/>
        </w:rPr>
        <w:t xml:space="preserve"> </w:t>
      </w:r>
      <w:r w:rsidRPr="00264AF6">
        <w:rPr>
          <w:sz w:val="28"/>
          <w:szCs w:val="28"/>
          <w:lang w:val="uk-UA"/>
        </w:rPr>
        <w:t>об</w:t>
      </w:r>
      <w:r w:rsidRPr="00264AF6">
        <w:rPr>
          <w:sz w:val="28"/>
          <w:szCs w:val="28"/>
        </w:rPr>
        <w:t>’</w:t>
      </w:r>
      <w:r w:rsidRPr="00264AF6">
        <w:rPr>
          <w:sz w:val="28"/>
          <w:szCs w:val="28"/>
          <w:lang w:val="uk-UA"/>
        </w:rPr>
        <w:t xml:space="preserve">єктивно </w:t>
      </w:r>
      <w:r w:rsidR="002435B5" w:rsidRPr="00264AF6">
        <w:rPr>
          <w:sz w:val="28"/>
          <w:szCs w:val="28"/>
          <w:lang w:val="uk-UA"/>
        </w:rPr>
        <w:t>визначати</w:t>
      </w:r>
      <w:r w:rsidR="00413832">
        <w:rPr>
          <w:sz w:val="28"/>
          <w:szCs w:val="28"/>
          <w:lang w:val="uk-UA"/>
        </w:rPr>
        <w:t xml:space="preserve"> якість </w:t>
      </w:r>
      <w:r w:rsidR="000670E6" w:rsidRPr="00264AF6">
        <w:rPr>
          <w:sz w:val="28"/>
          <w:szCs w:val="28"/>
          <w:lang w:val="uk-UA"/>
        </w:rPr>
        <w:t>послуг</w:t>
      </w:r>
      <w:r w:rsidR="00096E8F">
        <w:rPr>
          <w:sz w:val="28"/>
          <w:szCs w:val="28"/>
          <w:lang w:val="uk-UA"/>
        </w:rPr>
        <w:t xml:space="preserve"> рухомого (мобільного)</w:t>
      </w:r>
      <w:r w:rsidR="00096E8F" w:rsidRPr="004A3BBB">
        <w:rPr>
          <w:sz w:val="28"/>
          <w:szCs w:val="28"/>
          <w:lang w:val="uk-UA"/>
        </w:rPr>
        <w:t xml:space="preserve"> зв’</w:t>
      </w:r>
      <w:r w:rsidR="00096E8F">
        <w:rPr>
          <w:sz w:val="28"/>
          <w:szCs w:val="28"/>
          <w:lang w:val="uk-UA"/>
        </w:rPr>
        <w:t>язку</w:t>
      </w:r>
      <w:r w:rsidR="00CC28AD">
        <w:rPr>
          <w:sz w:val="28"/>
          <w:szCs w:val="28"/>
          <w:lang w:val="uk-UA"/>
        </w:rPr>
        <w:t xml:space="preserve">, </w:t>
      </w:r>
      <w:r w:rsidR="000670E6" w:rsidRPr="00264AF6">
        <w:rPr>
          <w:sz w:val="28"/>
          <w:szCs w:val="28"/>
          <w:lang w:val="uk-UA"/>
        </w:rPr>
        <w:t xml:space="preserve">що надаються </w:t>
      </w:r>
      <w:r w:rsidRPr="00264AF6">
        <w:rPr>
          <w:sz w:val="28"/>
          <w:szCs w:val="28"/>
          <w:lang w:val="uk-UA"/>
        </w:rPr>
        <w:t>операторами</w:t>
      </w:r>
      <w:r w:rsidR="0055096D">
        <w:rPr>
          <w:sz w:val="28"/>
          <w:szCs w:val="28"/>
          <w:lang w:val="uk-UA"/>
        </w:rPr>
        <w:t>, провайдерами</w:t>
      </w:r>
      <w:r w:rsidRPr="00264AF6">
        <w:rPr>
          <w:sz w:val="28"/>
          <w:szCs w:val="28"/>
          <w:lang w:val="uk-UA"/>
        </w:rPr>
        <w:t xml:space="preserve"> телекомунікацій.</w:t>
      </w:r>
      <w:r w:rsidR="00D70572">
        <w:rPr>
          <w:sz w:val="28"/>
          <w:szCs w:val="28"/>
          <w:lang w:val="uk-UA"/>
        </w:rPr>
        <w:t xml:space="preserve"> </w:t>
      </w:r>
    </w:p>
    <w:p w:rsidR="00096E8F" w:rsidRPr="00490B02" w:rsidRDefault="00096E8F" w:rsidP="00096E8F">
      <w:pPr>
        <w:tabs>
          <w:tab w:val="left" w:pos="5812"/>
        </w:tabs>
        <w:ind w:firstLine="708"/>
        <w:jc w:val="both"/>
        <w:rPr>
          <w:sz w:val="28"/>
          <w:szCs w:val="28"/>
          <w:lang w:val="uk-UA"/>
        </w:rPr>
      </w:pPr>
      <w:r w:rsidRPr="007A0CBD">
        <w:rPr>
          <w:sz w:val="28"/>
          <w:szCs w:val="28"/>
          <w:lang w:val="uk-UA"/>
        </w:rPr>
        <w:t>У зв</w:t>
      </w:r>
      <w:r w:rsidRPr="00490B02">
        <w:rPr>
          <w:sz w:val="28"/>
          <w:szCs w:val="28"/>
          <w:lang w:val="uk-UA"/>
        </w:rPr>
        <w:t xml:space="preserve">’язку </w:t>
      </w:r>
      <w:r w:rsidRPr="007A0CBD">
        <w:rPr>
          <w:sz w:val="28"/>
          <w:szCs w:val="28"/>
          <w:lang w:val="uk-UA"/>
        </w:rPr>
        <w:t>з</w:t>
      </w:r>
      <w:r w:rsidRPr="00490B02">
        <w:rPr>
          <w:sz w:val="28"/>
          <w:szCs w:val="28"/>
          <w:lang w:val="uk-UA"/>
        </w:rPr>
        <w:t xml:space="preserve"> </w:t>
      </w:r>
      <w:r w:rsidRPr="007A0CBD">
        <w:rPr>
          <w:sz w:val="28"/>
          <w:szCs w:val="28"/>
          <w:lang w:val="uk-UA"/>
        </w:rPr>
        <w:t>ци</w:t>
      </w:r>
      <w:r w:rsidRPr="00490B02">
        <w:rPr>
          <w:sz w:val="28"/>
          <w:szCs w:val="28"/>
          <w:lang w:val="uk-UA"/>
        </w:rPr>
        <w:t xml:space="preserve">м </w:t>
      </w:r>
      <w:r w:rsidRPr="007A0CBD">
        <w:rPr>
          <w:sz w:val="28"/>
          <w:szCs w:val="28"/>
          <w:lang w:val="uk-UA"/>
        </w:rPr>
        <w:t>виник</w:t>
      </w:r>
      <w:r>
        <w:rPr>
          <w:sz w:val="28"/>
          <w:szCs w:val="28"/>
          <w:lang w:val="uk-UA"/>
        </w:rPr>
        <w:t>ла</w:t>
      </w:r>
      <w:r w:rsidRPr="007A0CBD">
        <w:rPr>
          <w:sz w:val="28"/>
          <w:szCs w:val="28"/>
          <w:lang w:val="uk-UA"/>
        </w:rPr>
        <w:t xml:space="preserve"> необ</w:t>
      </w:r>
      <w:r>
        <w:rPr>
          <w:sz w:val="28"/>
          <w:szCs w:val="28"/>
          <w:lang w:val="uk-UA"/>
        </w:rPr>
        <w:t xml:space="preserve">хідність затвердження нових </w:t>
      </w:r>
      <w:r w:rsidRPr="00490B02">
        <w:rPr>
          <w:sz w:val="28"/>
          <w:szCs w:val="28"/>
          <w:lang w:val="uk-UA"/>
        </w:rPr>
        <w:t>в</w:t>
      </w:r>
      <w:r w:rsidRPr="00490B02">
        <w:rPr>
          <w:bCs/>
          <w:sz w:val="28"/>
          <w:szCs w:val="28"/>
          <w:lang w:val="uk-UA"/>
        </w:rPr>
        <w:t xml:space="preserve">имог щодо рівня якості послуг </w:t>
      </w:r>
      <w:r>
        <w:rPr>
          <w:sz w:val="28"/>
          <w:szCs w:val="28"/>
          <w:lang w:val="uk-UA"/>
        </w:rPr>
        <w:t>рухомого (мобільного)</w:t>
      </w:r>
      <w:r w:rsidRPr="004A3BBB">
        <w:rPr>
          <w:sz w:val="28"/>
          <w:szCs w:val="28"/>
          <w:lang w:val="uk-UA"/>
        </w:rPr>
        <w:t xml:space="preserve"> зв’</w:t>
      </w:r>
      <w:r>
        <w:rPr>
          <w:sz w:val="28"/>
          <w:szCs w:val="28"/>
          <w:lang w:val="uk-UA"/>
        </w:rPr>
        <w:t>язку</w:t>
      </w:r>
      <w:r w:rsidRPr="00490B02">
        <w:rPr>
          <w:bCs/>
          <w:sz w:val="28"/>
          <w:szCs w:val="28"/>
          <w:lang w:val="uk-UA"/>
        </w:rPr>
        <w:t xml:space="preserve"> і визнання</w:t>
      </w:r>
      <w:r w:rsidR="002916AC">
        <w:rPr>
          <w:bCs/>
          <w:sz w:val="28"/>
          <w:szCs w:val="28"/>
          <w:lang w:val="uk-UA"/>
        </w:rPr>
        <w:t xml:space="preserve"> Наказу № </w:t>
      </w:r>
      <w:r w:rsidR="00BF1C4A">
        <w:rPr>
          <w:bCs/>
          <w:sz w:val="28"/>
          <w:szCs w:val="28"/>
          <w:lang w:val="uk-UA"/>
        </w:rPr>
        <w:t xml:space="preserve">147 </w:t>
      </w:r>
      <w:r w:rsidRPr="00490B02">
        <w:rPr>
          <w:bCs/>
          <w:sz w:val="28"/>
          <w:szCs w:val="28"/>
          <w:lang w:val="uk-UA"/>
        </w:rPr>
        <w:t>таким,</w:t>
      </w:r>
      <w:r w:rsidR="00E41974">
        <w:rPr>
          <w:bCs/>
          <w:sz w:val="28"/>
          <w:szCs w:val="28"/>
          <w:lang w:val="uk-UA"/>
        </w:rPr>
        <w:t xml:space="preserve"> що втратив чинність</w:t>
      </w:r>
      <w:r w:rsidR="00BF1C4A">
        <w:rPr>
          <w:bCs/>
          <w:sz w:val="28"/>
          <w:szCs w:val="28"/>
          <w:lang w:val="uk-UA"/>
        </w:rPr>
        <w:t>.</w:t>
      </w:r>
      <w:r w:rsidR="00E41974">
        <w:rPr>
          <w:bCs/>
          <w:sz w:val="28"/>
          <w:szCs w:val="28"/>
          <w:lang w:val="uk-UA"/>
        </w:rPr>
        <w:t xml:space="preserve"> </w:t>
      </w:r>
    </w:p>
    <w:p w:rsidR="00B10D40" w:rsidRPr="00BA08B2" w:rsidRDefault="00E365FE" w:rsidP="00BA08B2">
      <w:pPr>
        <w:ind w:firstLine="709"/>
        <w:rPr>
          <w:sz w:val="28"/>
          <w:szCs w:val="28"/>
          <w:lang w:val="uk-UA"/>
        </w:rPr>
      </w:pPr>
      <w:r w:rsidRPr="00BA08B2">
        <w:rPr>
          <w:sz w:val="28"/>
          <w:szCs w:val="28"/>
          <w:lang w:val="uk-UA"/>
        </w:rPr>
        <w:t>Основні групи (підгрупи), на які проблема вплив</w:t>
      </w:r>
      <w:r w:rsidR="00413832">
        <w:rPr>
          <w:sz w:val="28"/>
          <w:szCs w:val="28"/>
          <w:lang w:val="uk-UA"/>
        </w:rPr>
        <w:t>ає</w:t>
      </w:r>
      <w:r w:rsidRPr="00BA08B2">
        <w:rPr>
          <w:sz w:val="28"/>
          <w:szCs w:val="28"/>
          <w:lang w:val="uk-UA"/>
        </w:rPr>
        <w:t>:</w:t>
      </w: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0"/>
        <w:gridCol w:w="1635"/>
        <w:gridCol w:w="2110"/>
      </w:tblGrid>
      <w:tr w:rsidR="00E365FE" w:rsidRPr="00BA08B2" w:rsidTr="005D24AC">
        <w:tc>
          <w:tcPr>
            <w:tcW w:w="3069" w:type="pct"/>
          </w:tcPr>
          <w:p w:rsidR="00E365FE" w:rsidRPr="008356CE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8356CE">
              <w:rPr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843" w:type="pct"/>
          </w:tcPr>
          <w:p w:rsidR="00E365FE" w:rsidRPr="008356CE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8356CE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88" w:type="pct"/>
          </w:tcPr>
          <w:p w:rsidR="00E365FE" w:rsidRPr="008356CE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8356CE">
              <w:rPr>
                <w:sz w:val="28"/>
                <w:szCs w:val="28"/>
                <w:lang w:val="uk-UA"/>
              </w:rPr>
              <w:t>Ні</w:t>
            </w:r>
          </w:p>
        </w:tc>
      </w:tr>
      <w:tr w:rsidR="00E365FE" w:rsidRPr="00BA08B2" w:rsidTr="005D24AC">
        <w:tc>
          <w:tcPr>
            <w:tcW w:w="3069" w:type="pct"/>
          </w:tcPr>
          <w:p w:rsidR="00E365FE" w:rsidRPr="00BA08B2" w:rsidRDefault="00E365FE" w:rsidP="00975064">
            <w:pPr>
              <w:ind w:firstLine="40"/>
              <w:rPr>
                <w:sz w:val="28"/>
                <w:szCs w:val="28"/>
                <w:lang w:val="uk-UA"/>
              </w:rPr>
            </w:pPr>
            <w:r w:rsidRPr="00BA08B2">
              <w:rPr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843" w:type="pct"/>
          </w:tcPr>
          <w:p w:rsidR="00E365FE" w:rsidRPr="00FA0F61" w:rsidRDefault="00E365FE" w:rsidP="00DF5AD0">
            <w:pPr>
              <w:jc w:val="center"/>
              <w:rPr>
                <w:sz w:val="28"/>
                <w:szCs w:val="28"/>
                <w:lang w:val="uk-UA"/>
              </w:rPr>
            </w:pPr>
            <w:r w:rsidRPr="00FA0F61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88" w:type="pct"/>
          </w:tcPr>
          <w:p w:rsidR="00E365FE" w:rsidRPr="007765DC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65FE" w:rsidRPr="00BA08B2" w:rsidTr="005D24AC">
        <w:tc>
          <w:tcPr>
            <w:tcW w:w="3069" w:type="pct"/>
          </w:tcPr>
          <w:p w:rsidR="00E365FE" w:rsidRPr="00BA08B2" w:rsidRDefault="00E365FE" w:rsidP="00975064">
            <w:pPr>
              <w:tabs>
                <w:tab w:val="center" w:pos="2953"/>
              </w:tabs>
              <w:ind w:firstLine="40"/>
              <w:rPr>
                <w:sz w:val="28"/>
                <w:szCs w:val="28"/>
                <w:lang w:val="uk-UA"/>
              </w:rPr>
            </w:pPr>
            <w:r w:rsidRPr="00BA08B2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843" w:type="pct"/>
          </w:tcPr>
          <w:p w:rsidR="00E365FE" w:rsidRPr="00FA0F6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FA0F61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88" w:type="pct"/>
          </w:tcPr>
          <w:p w:rsidR="00E365FE" w:rsidRPr="00BA08B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C61A4" w:rsidRPr="00BA08B2" w:rsidTr="005D24AC">
        <w:tc>
          <w:tcPr>
            <w:tcW w:w="3069" w:type="pct"/>
          </w:tcPr>
          <w:p w:rsidR="001C61A4" w:rsidRPr="00BA08B2" w:rsidRDefault="001C61A4" w:rsidP="00975064">
            <w:pPr>
              <w:tabs>
                <w:tab w:val="center" w:pos="2953"/>
              </w:tabs>
              <w:ind w:firstLine="40"/>
              <w:rPr>
                <w:sz w:val="28"/>
                <w:szCs w:val="28"/>
                <w:lang w:val="uk-UA"/>
              </w:rPr>
            </w:pPr>
            <w:r w:rsidRPr="00BA08B2">
              <w:rPr>
                <w:sz w:val="28"/>
                <w:szCs w:val="28"/>
                <w:lang w:val="uk-UA"/>
              </w:rPr>
              <w:t>Суб’єкти господарювання,</w:t>
            </w:r>
          </w:p>
        </w:tc>
        <w:tc>
          <w:tcPr>
            <w:tcW w:w="843" w:type="pct"/>
          </w:tcPr>
          <w:p w:rsidR="001C61A4" w:rsidRPr="00FA0F61" w:rsidRDefault="001C61A4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FA0F61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88" w:type="pct"/>
          </w:tcPr>
          <w:p w:rsidR="001C61A4" w:rsidRPr="00BA08B2" w:rsidRDefault="001C61A4" w:rsidP="009750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365FE" w:rsidRPr="00BA08B2" w:rsidTr="005D24AC">
        <w:trPr>
          <w:trHeight w:val="130"/>
        </w:trPr>
        <w:tc>
          <w:tcPr>
            <w:tcW w:w="3069" w:type="pct"/>
          </w:tcPr>
          <w:p w:rsidR="00E365FE" w:rsidRPr="00BA08B2" w:rsidRDefault="00E365FE" w:rsidP="00975064">
            <w:pPr>
              <w:ind w:firstLine="40"/>
              <w:rPr>
                <w:sz w:val="28"/>
                <w:szCs w:val="28"/>
                <w:lang w:val="uk-UA"/>
              </w:rPr>
            </w:pPr>
            <w:r w:rsidRPr="00BA08B2">
              <w:rPr>
                <w:sz w:val="28"/>
                <w:szCs w:val="28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843" w:type="pct"/>
          </w:tcPr>
          <w:p w:rsidR="00E365FE" w:rsidRPr="00FA0F61" w:rsidRDefault="001C61A4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FA0F61">
              <w:rPr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088" w:type="pct"/>
          </w:tcPr>
          <w:p w:rsidR="00E365FE" w:rsidRPr="00BA08B2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50DC5" w:rsidRDefault="00150DC5" w:rsidP="000B240B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</w:p>
    <w:p w:rsidR="000B240B" w:rsidRDefault="00E365FE" w:rsidP="00D35038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ІІ. </w:t>
      </w:r>
      <w:r w:rsidRPr="00420434">
        <w:rPr>
          <w:b/>
          <w:sz w:val="28"/>
          <w:szCs w:val="28"/>
          <w:lang w:val="uk-UA"/>
        </w:rPr>
        <w:t>Цілі державного регулювання</w:t>
      </w:r>
    </w:p>
    <w:p w:rsidR="00E365FE" w:rsidRDefault="00E365FE" w:rsidP="00D35038">
      <w:pPr>
        <w:ind w:firstLine="700"/>
        <w:jc w:val="both"/>
        <w:rPr>
          <w:sz w:val="28"/>
          <w:szCs w:val="28"/>
          <w:lang w:val="uk-UA"/>
        </w:rPr>
      </w:pPr>
      <w:r w:rsidRPr="00D35038">
        <w:rPr>
          <w:sz w:val="28"/>
          <w:szCs w:val="28"/>
          <w:lang w:val="uk-UA"/>
        </w:rPr>
        <w:t>М</w:t>
      </w:r>
      <w:r w:rsidR="00413832" w:rsidRPr="00D35038">
        <w:rPr>
          <w:sz w:val="28"/>
          <w:szCs w:val="28"/>
          <w:lang w:val="uk-UA"/>
        </w:rPr>
        <w:t xml:space="preserve">етою підготовки </w:t>
      </w:r>
      <w:r w:rsidR="00976547" w:rsidRPr="00D35038">
        <w:rPr>
          <w:sz w:val="28"/>
          <w:szCs w:val="28"/>
          <w:lang w:val="uk-UA"/>
        </w:rPr>
        <w:t>проєкт</w:t>
      </w:r>
      <w:r w:rsidRPr="00D35038">
        <w:rPr>
          <w:sz w:val="28"/>
          <w:szCs w:val="28"/>
          <w:lang w:val="uk-UA"/>
        </w:rPr>
        <w:t xml:space="preserve">у Наказу є </w:t>
      </w:r>
      <w:r w:rsidR="00FA7B5B" w:rsidRPr="00D35038">
        <w:rPr>
          <w:sz w:val="28"/>
          <w:szCs w:val="28"/>
          <w:lang w:val="uk-UA"/>
        </w:rPr>
        <w:t xml:space="preserve">доповнення Показників якості </w:t>
      </w:r>
      <w:r w:rsidR="00A6595E" w:rsidRPr="00D35038">
        <w:rPr>
          <w:sz w:val="28"/>
          <w:szCs w:val="28"/>
          <w:lang w:val="uk-UA"/>
        </w:rPr>
        <w:t xml:space="preserve">згідно із заходами пункту 1 Плану </w:t>
      </w:r>
      <w:r w:rsidR="00EC42EC" w:rsidRPr="00D35038">
        <w:rPr>
          <w:sz w:val="28"/>
          <w:szCs w:val="28"/>
          <w:lang w:val="uk-UA"/>
        </w:rPr>
        <w:t xml:space="preserve">та </w:t>
      </w:r>
      <w:r w:rsidRPr="00D35038">
        <w:rPr>
          <w:sz w:val="28"/>
          <w:szCs w:val="28"/>
          <w:lang w:val="uk-UA"/>
        </w:rPr>
        <w:t xml:space="preserve">приведення </w:t>
      </w:r>
      <w:r w:rsidR="00BD290A" w:rsidRPr="00D35038">
        <w:rPr>
          <w:sz w:val="28"/>
          <w:szCs w:val="28"/>
          <w:lang w:val="uk-UA"/>
        </w:rPr>
        <w:t>Показників якості</w:t>
      </w:r>
      <w:r w:rsidRPr="00D35038">
        <w:rPr>
          <w:sz w:val="28"/>
          <w:szCs w:val="28"/>
          <w:lang w:val="uk-UA"/>
        </w:rPr>
        <w:t xml:space="preserve"> у відповідність із чинним законодавством</w:t>
      </w:r>
      <w:r w:rsidR="00413832" w:rsidRPr="00D35038">
        <w:rPr>
          <w:sz w:val="28"/>
          <w:szCs w:val="28"/>
          <w:lang w:val="uk-UA"/>
        </w:rPr>
        <w:t>. Для операторів,</w:t>
      </w:r>
      <w:r w:rsidRPr="00D35038">
        <w:rPr>
          <w:sz w:val="28"/>
          <w:szCs w:val="28"/>
          <w:lang w:val="uk-UA"/>
        </w:rPr>
        <w:t xml:space="preserve"> провайдерів телекомунікацій – здійснення діяльності в прозорому нормативно-правовому полі щодо вимог до якості надання послуг, для НКРЗІ – отримання можливості затверджувати переліки показників якості послуг </w:t>
      </w:r>
      <w:r w:rsidR="00B30E5A" w:rsidRPr="00D35038">
        <w:rPr>
          <w:sz w:val="28"/>
          <w:szCs w:val="28"/>
          <w:lang w:val="uk-UA"/>
        </w:rPr>
        <w:t>рухомого (мобільного) зв’язку</w:t>
      </w:r>
      <w:r w:rsidRPr="00D35038">
        <w:rPr>
          <w:sz w:val="28"/>
          <w:szCs w:val="28"/>
          <w:lang w:val="uk-UA"/>
        </w:rPr>
        <w:t xml:space="preserve">, рівні яких </w:t>
      </w:r>
      <w:r w:rsidRPr="00D35038">
        <w:rPr>
          <w:sz w:val="28"/>
          <w:szCs w:val="28"/>
          <w:lang w:val="uk-UA"/>
        </w:rPr>
        <w:lastRenderedPageBreak/>
        <w:t>підлягають оприлюдненню, та з</w:t>
      </w:r>
      <w:r w:rsidR="00E72A12" w:rsidRPr="00D35038">
        <w:rPr>
          <w:sz w:val="28"/>
          <w:szCs w:val="28"/>
          <w:lang w:val="uk-UA"/>
        </w:rPr>
        <w:t>дійснення об’єктивного контролю</w:t>
      </w:r>
      <w:r w:rsidRPr="00D35038">
        <w:rPr>
          <w:sz w:val="28"/>
          <w:szCs w:val="28"/>
          <w:lang w:val="uk-UA"/>
        </w:rPr>
        <w:t xml:space="preserve"> за дот</w:t>
      </w:r>
      <w:r w:rsidR="00EC42EC" w:rsidRPr="00D35038">
        <w:rPr>
          <w:sz w:val="28"/>
          <w:szCs w:val="28"/>
          <w:lang w:val="uk-UA"/>
        </w:rPr>
        <w:t>риманням рівнів цих показників.</w:t>
      </w:r>
    </w:p>
    <w:p w:rsidR="00D35038" w:rsidRPr="00D35038" w:rsidRDefault="00D35038" w:rsidP="00D35038">
      <w:pPr>
        <w:ind w:firstLine="700"/>
        <w:jc w:val="both"/>
        <w:rPr>
          <w:sz w:val="28"/>
          <w:szCs w:val="28"/>
          <w:lang w:val="uk-UA"/>
        </w:rPr>
      </w:pPr>
    </w:p>
    <w:p w:rsidR="00E365FE" w:rsidRDefault="00E365FE" w:rsidP="00CC28AD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ІІІ. </w:t>
      </w:r>
      <w:r w:rsidRPr="00420434">
        <w:rPr>
          <w:b/>
          <w:color w:val="auto"/>
          <w:sz w:val="28"/>
          <w:szCs w:val="28"/>
          <w:lang w:val="uk-UA"/>
        </w:rPr>
        <w:t>Визначення та оцінка альтернативних способів досягнення цілей</w:t>
      </w:r>
    </w:p>
    <w:p w:rsidR="001C61A4" w:rsidRPr="001C61A4" w:rsidRDefault="001C61A4" w:rsidP="00CC28AD">
      <w:pPr>
        <w:pStyle w:val="AeiOaieaaeaec"/>
        <w:spacing w:after="120"/>
        <w:ind w:firstLine="709"/>
        <w:jc w:val="left"/>
        <w:rPr>
          <w:b/>
          <w:color w:val="auto"/>
          <w:sz w:val="28"/>
          <w:szCs w:val="28"/>
          <w:lang w:val="uk-UA"/>
        </w:rPr>
      </w:pPr>
      <w:r w:rsidRPr="001C61A4">
        <w:rPr>
          <w:color w:val="333333"/>
          <w:sz w:val="28"/>
          <w:szCs w:val="28"/>
          <w:shd w:val="clear" w:color="auto" w:fill="FFFFFF"/>
        </w:rPr>
        <w:t>1. Визначення альтернативних способів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45"/>
        <w:gridCol w:w="7234"/>
      </w:tblGrid>
      <w:tr w:rsidR="00E365FE" w:rsidRPr="002916AC" w:rsidTr="005D24AC">
        <w:trPr>
          <w:trHeight w:val="319"/>
        </w:trPr>
        <w:tc>
          <w:tcPr>
            <w:tcW w:w="126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916AC" w:rsidRDefault="00E365FE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2916AC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7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916AC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2916AC">
              <w:rPr>
                <w:sz w:val="28"/>
                <w:szCs w:val="28"/>
                <w:lang w:val="uk-UA"/>
              </w:rPr>
              <w:t>Опис альтернативи</w:t>
            </w:r>
          </w:p>
        </w:tc>
      </w:tr>
      <w:tr w:rsidR="00E365FE" w:rsidRPr="00770F88" w:rsidTr="00A6595E">
        <w:trPr>
          <w:trHeight w:val="319"/>
        </w:trPr>
        <w:tc>
          <w:tcPr>
            <w:tcW w:w="12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5C647B" w:rsidRDefault="00E365FE" w:rsidP="00975064">
            <w:pPr>
              <w:ind w:firstLine="6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>Альтернатива № 1</w:t>
            </w:r>
          </w:p>
          <w:p w:rsidR="00E365FE" w:rsidRPr="005C647B" w:rsidRDefault="00E365FE" w:rsidP="00E44EE0">
            <w:pPr>
              <w:rPr>
                <w:sz w:val="28"/>
                <w:szCs w:val="28"/>
                <w:lang w:val="uk-UA"/>
              </w:rPr>
            </w:pPr>
          </w:p>
          <w:p w:rsidR="00E365FE" w:rsidRPr="005C647B" w:rsidRDefault="00E365FE" w:rsidP="002916AC">
            <w:pPr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>Збереження ситуації, яка існує на цей час</w:t>
            </w:r>
          </w:p>
        </w:tc>
        <w:tc>
          <w:tcPr>
            <w:tcW w:w="37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252B11" w:rsidRDefault="00E365FE" w:rsidP="002D4535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 xml:space="preserve">Така альтернатива є неприйнятною, оскільки </w:t>
            </w:r>
            <w:r w:rsidR="00AD1C23">
              <w:rPr>
                <w:sz w:val="28"/>
                <w:szCs w:val="28"/>
                <w:lang w:val="uk-UA"/>
              </w:rPr>
              <w:t>не враховані заходи пункту 1 Плану</w:t>
            </w:r>
            <w:r w:rsidR="00CF0428">
              <w:rPr>
                <w:sz w:val="28"/>
                <w:szCs w:val="28"/>
                <w:lang w:val="uk-UA"/>
              </w:rPr>
              <w:t xml:space="preserve"> щодо доповнення переліку Показників якості показниками: «середня швидкість передавання/приймання даних», «час затримки між пакетами відправлення та приймання», «варіація затримки пакетів», «втрата пакетів», </w:t>
            </w:r>
            <w:r w:rsidR="00C14637" w:rsidRPr="00252B11">
              <w:rPr>
                <w:sz w:val="28"/>
                <w:szCs w:val="28"/>
                <w:lang w:val="uk-UA"/>
              </w:rPr>
              <w:t>«час очікування відповіді фахівця служби інформаційно-довідкового обслуговування оператора телекомунікацій (починаючи з моменту свідомого вибору абонента)»</w:t>
            </w:r>
            <w:r w:rsidR="00252B11">
              <w:rPr>
                <w:sz w:val="28"/>
                <w:szCs w:val="28"/>
                <w:lang w:val="uk-UA"/>
              </w:rPr>
              <w:t>.</w:t>
            </w:r>
          </w:p>
          <w:p w:rsidR="00CF0428" w:rsidRDefault="00252B11" w:rsidP="002D4535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Крім того, не застосовані методи</w:t>
            </w:r>
            <w:r w:rsidR="00EC13F6" w:rsidRPr="00B10D40">
              <w:rPr>
                <w:sz w:val="28"/>
                <w:szCs w:val="28"/>
                <w:lang w:val="uk-UA"/>
              </w:rPr>
              <w:t xml:space="preserve"> випробування якості послуг, визначених</w:t>
            </w:r>
            <w:r w:rsidR="00EC13F6">
              <w:rPr>
                <w:sz w:val="28"/>
                <w:szCs w:val="28"/>
                <w:lang w:val="uk-UA"/>
              </w:rPr>
              <w:t xml:space="preserve"> ДСТУ ETSI </w:t>
            </w:r>
            <w:r w:rsidR="00EC13F6" w:rsidRPr="00B10D40">
              <w:rPr>
                <w:sz w:val="28"/>
                <w:szCs w:val="28"/>
                <w:lang w:val="uk-UA"/>
              </w:rPr>
              <w:t>EG</w:t>
            </w:r>
            <w:r w:rsidR="00EC13F6">
              <w:rPr>
                <w:sz w:val="28"/>
                <w:szCs w:val="28"/>
                <w:lang w:val="uk-UA"/>
              </w:rPr>
              <w:t> </w:t>
            </w:r>
            <w:r w:rsidR="00EC13F6" w:rsidRPr="00B10D40">
              <w:rPr>
                <w:sz w:val="28"/>
                <w:szCs w:val="28"/>
                <w:lang w:val="uk-UA"/>
              </w:rPr>
              <w:t>202</w:t>
            </w:r>
            <w:r w:rsidR="00EC13F6">
              <w:rPr>
                <w:sz w:val="28"/>
                <w:szCs w:val="28"/>
                <w:lang w:val="uk-UA"/>
              </w:rPr>
              <w:t xml:space="preserve"> 057, </w:t>
            </w:r>
            <w:r w:rsidR="00CF0428">
              <w:rPr>
                <w:sz w:val="28"/>
                <w:szCs w:val="28"/>
                <w:lang w:val="uk-UA"/>
              </w:rPr>
              <w:t>що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не дає можливості органам</w:t>
            </w:r>
            <w:r w:rsidR="00CF0428">
              <w:rPr>
                <w:sz w:val="28"/>
                <w:szCs w:val="28"/>
                <w:lang w:val="uk-UA"/>
              </w:rPr>
              <w:t>,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</w:t>
            </w:r>
            <w:r w:rsidR="00B259A7">
              <w:rPr>
                <w:sz w:val="28"/>
                <w:szCs w:val="28"/>
                <w:lang w:val="uk-UA"/>
              </w:rPr>
              <w:t>які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здійснюють контроль за якістю телекомунікаційних послуг</w:t>
            </w:r>
            <w:r w:rsidR="00CF0428">
              <w:rPr>
                <w:sz w:val="28"/>
                <w:szCs w:val="28"/>
                <w:lang w:val="uk-UA"/>
              </w:rPr>
              <w:t>,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об</w:t>
            </w:r>
            <w:r w:rsidR="00CF0428" w:rsidRPr="00CF0428">
              <w:rPr>
                <w:sz w:val="28"/>
                <w:szCs w:val="28"/>
                <w:lang w:val="uk-UA"/>
              </w:rPr>
              <w:t>’</w:t>
            </w:r>
            <w:r w:rsidR="00CF0428" w:rsidRPr="005C647B">
              <w:rPr>
                <w:sz w:val="28"/>
                <w:szCs w:val="28"/>
                <w:lang w:val="uk-UA"/>
              </w:rPr>
              <w:t>єктивно визначати якість</w:t>
            </w:r>
            <w:r w:rsidR="00CF0428">
              <w:rPr>
                <w:sz w:val="28"/>
                <w:szCs w:val="28"/>
                <w:lang w:val="uk-UA"/>
              </w:rPr>
              <w:t xml:space="preserve"> 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послуг </w:t>
            </w:r>
            <w:r w:rsidR="00CF0428">
              <w:rPr>
                <w:sz w:val="28"/>
                <w:szCs w:val="28"/>
                <w:lang w:val="uk-UA"/>
              </w:rPr>
              <w:t>рухомого (мобільного) зв’язку,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що надаються операторами</w:t>
            </w:r>
            <w:r w:rsidR="00CF0428">
              <w:rPr>
                <w:sz w:val="28"/>
                <w:szCs w:val="28"/>
                <w:lang w:val="uk-UA"/>
              </w:rPr>
              <w:t>, провайдерами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телекомунікацій</w:t>
            </w:r>
            <w:r w:rsidR="00CF0428">
              <w:rPr>
                <w:sz w:val="28"/>
                <w:szCs w:val="28"/>
                <w:lang w:val="uk-UA"/>
              </w:rPr>
              <w:t>.</w:t>
            </w:r>
          </w:p>
          <w:p w:rsidR="00CF0428" w:rsidRPr="00B10D40" w:rsidRDefault="00252B11" w:rsidP="002D4535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Також</w:t>
            </w:r>
            <w:r w:rsidR="002E5D6F" w:rsidRPr="002D4535">
              <w:rPr>
                <w:sz w:val="28"/>
                <w:szCs w:val="28"/>
                <w:lang w:val="uk-UA"/>
              </w:rPr>
              <w:t xml:space="preserve"> </w:t>
            </w:r>
            <w:r w:rsidR="002E5D6F">
              <w:rPr>
                <w:sz w:val="28"/>
                <w:szCs w:val="28"/>
                <w:lang w:val="uk-UA"/>
              </w:rPr>
              <w:t>н</w:t>
            </w:r>
            <w:r w:rsidR="00CF0428">
              <w:rPr>
                <w:sz w:val="28"/>
                <w:szCs w:val="28"/>
                <w:lang w:val="uk-UA"/>
              </w:rPr>
              <w:t xml:space="preserve">е </w:t>
            </w:r>
            <w:r w:rsidR="00B259A7" w:rsidRPr="002D4535">
              <w:rPr>
                <w:sz w:val="28"/>
                <w:szCs w:val="28"/>
                <w:lang w:val="uk-UA"/>
              </w:rPr>
              <w:t>врах</w:t>
            </w:r>
            <w:r w:rsidR="00B259A7">
              <w:rPr>
                <w:sz w:val="28"/>
                <w:szCs w:val="28"/>
                <w:lang w:val="uk-UA"/>
              </w:rPr>
              <w:t>овано</w:t>
            </w:r>
            <w:r w:rsidR="002E5D6F">
              <w:rPr>
                <w:sz w:val="28"/>
                <w:szCs w:val="28"/>
                <w:lang w:val="uk-UA"/>
              </w:rPr>
              <w:t xml:space="preserve"> </w:t>
            </w:r>
            <w:r w:rsidR="002D4535">
              <w:rPr>
                <w:sz w:val="28"/>
                <w:szCs w:val="28"/>
                <w:lang w:val="uk-UA"/>
              </w:rPr>
              <w:t>неможливість</w:t>
            </w:r>
            <w:r w:rsidR="00CF0428" w:rsidRPr="002D4535">
              <w:rPr>
                <w:sz w:val="28"/>
                <w:szCs w:val="28"/>
                <w:lang w:val="uk-UA"/>
              </w:rPr>
              <w:t xml:space="preserve"> відновлення в одноденний строк надання телекомунікаційних послуг у разі настання надзвичайних ситуацій, аварій, викрадення чи пошкодження лінійних та станційних споруд, що зафіксовано у правоохоронних органах у встановленому законодавством порядку</w:t>
            </w:r>
            <w:r w:rsidR="00B259A7">
              <w:rPr>
                <w:sz w:val="28"/>
                <w:szCs w:val="28"/>
                <w:lang w:val="uk-UA"/>
              </w:rPr>
              <w:t>.</w:t>
            </w:r>
            <w:r w:rsidR="00CF0428" w:rsidRPr="005C647B">
              <w:rPr>
                <w:sz w:val="28"/>
                <w:szCs w:val="28"/>
                <w:lang w:val="uk-UA"/>
              </w:rPr>
              <w:t xml:space="preserve"> </w:t>
            </w:r>
          </w:p>
          <w:p w:rsidR="00F57B53" w:rsidRDefault="00252B11" w:rsidP="00F57B53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906752" w:rsidRPr="005C647B">
              <w:rPr>
                <w:sz w:val="28"/>
                <w:szCs w:val="28"/>
                <w:lang w:val="uk-UA"/>
              </w:rPr>
              <w:t>ерміни «надзвичайні умови» і «нормальні умови роботи»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, </w:t>
            </w:r>
            <w:r w:rsidR="00941BB5" w:rsidRPr="005C647B">
              <w:rPr>
                <w:sz w:val="28"/>
                <w:szCs w:val="28"/>
                <w:lang w:val="uk-UA"/>
              </w:rPr>
              <w:t xml:space="preserve">що застосовуються у </w:t>
            </w:r>
            <w:r w:rsidR="00C11B42" w:rsidRPr="005C647B">
              <w:rPr>
                <w:rStyle w:val="rvts0"/>
                <w:sz w:val="28"/>
                <w:szCs w:val="28"/>
                <w:lang w:val="uk-UA"/>
              </w:rPr>
              <w:t>Показниках якості</w:t>
            </w:r>
            <w:r w:rsidR="00CC28AD">
              <w:rPr>
                <w:rStyle w:val="rvts0"/>
                <w:sz w:val="28"/>
                <w:szCs w:val="28"/>
                <w:lang w:val="uk-UA"/>
              </w:rPr>
              <w:t>,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 потребують приведення у відповідність до </w:t>
            </w:r>
            <w:r w:rsidR="00906752" w:rsidRPr="005C647B">
              <w:rPr>
                <w:sz w:val="28"/>
                <w:szCs w:val="28"/>
                <w:lang w:val="uk-UA"/>
              </w:rPr>
              <w:t>вимог</w:t>
            </w:r>
            <w:r w:rsidR="007A3A85" w:rsidRPr="005C647B">
              <w:rPr>
                <w:sz w:val="28"/>
                <w:szCs w:val="28"/>
                <w:lang w:val="uk-UA"/>
              </w:rPr>
              <w:t xml:space="preserve"> чинного законодавства з урахуванням розвитку телекомунікаційних мереж, інших факторів їх експлуатації, </w:t>
            </w:r>
            <w:r w:rsidR="00AD62C6" w:rsidRPr="005C647B">
              <w:rPr>
                <w:sz w:val="28"/>
                <w:szCs w:val="28"/>
                <w:lang w:val="uk-UA"/>
              </w:rPr>
              <w:t xml:space="preserve">в тому числі й тих, що пов’язані з викраденням чи пошкодженням зловмисниками лінійних та станційних споруд операторів телекомунікацій, що використовуються для надання послуг </w:t>
            </w:r>
            <w:r w:rsidR="00B66DCC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AD62C6" w:rsidRPr="005C647B">
              <w:rPr>
                <w:sz w:val="28"/>
                <w:szCs w:val="28"/>
                <w:lang w:val="uk-UA"/>
              </w:rPr>
              <w:t>.</w:t>
            </w:r>
            <w:r w:rsidR="007A3A85" w:rsidRPr="005C647B">
              <w:rPr>
                <w:sz w:val="28"/>
                <w:szCs w:val="28"/>
                <w:lang w:val="uk-UA"/>
              </w:rPr>
              <w:t xml:space="preserve"> </w:t>
            </w:r>
            <w:r w:rsidR="00E365FE" w:rsidRPr="005C647B">
              <w:rPr>
                <w:sz w:val="28"/>
                <w:szCs w:val="28"/>
                <w:lang w:val="uk-UA"/>
              </w:rPr>
              <w:t>Оцінка дотр</w:t>
            </w:r>
            <w:r w:rsidR="005A5BC7">
              <w:rPr>
                <w:sz w:val="28"/>
                <w:szCs w:val="28"/>
                <w:lang w:val="uk-UA"/>
              </w:rPr>
              <w:t xml:space="preserve">имання оператором, провайдером </w:t>
            </w:r>
            <w:r w:rsidR="00470806">
              <w:rPr>
                <w:sz w:val="28"/>
                <w:szCs w:val="28"/>
                <w:lang w:val="uk-UA"/>
              </w:rPr>
              <w:t xml:space="preserve">телекомунікацій </w:t>
            </w:r>
            <w:r w:rsidR="00E365FE" w:rsidRPr="005C647B">
              <w:rPr>
                <w:sz w:val="28"/>
                <w:szCs w:val="28"/>
                <w:lang w:val="uk-UA"/>
              </w:rPr>
              <w:t>встановлених строків усунення пошкоджень телекомунікаційної мережі та відновлення доступу до послуг у</w:t>
            </w:r>
            <w:r w:rsidR="00E72A12" w:rsidRPr="005C647B">
              <w:rPr>
                <w:sz w:val="28"/>
                <w:szCs w:val="28"/>
                <w:lang w:val="uk-UA"/>
              </w:rPr>
              <w:t>складнюється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 через те, що неоднозначно визначено умови застосування (вимірювання) показників якості. </w:t>
            </w:r>
          </w:p>
          <w:p w:rsidR="00E365FE" w:rsidRPr="005C647B" w:rsidRDefault="00E365FE" w:rsidP="00F57B53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>Такий спосіб не сприятиме досягненню цілей державного регулювання.</w:t>
            </w:r>
          </w:p>
        </w:tc>
      </w:tr>
      <w:tr w:rsidR="00E365FE" w:rsidRPr="00770F88" w:rsidTr="005D24AC">
        <w:trPr>
          <w:trHeight w:val="1028"/>
        </w:trPr>
        <w:tc>
          <w:tcPr>
            <w:tcW w:w="126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Default="00E365FE" w:rsidP="00975064">
            <w:pPr>
              <w:ind w:firstLine="6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lastRenderedPageBreak/>
              <w:t>Альтернатива № 2</w:t>
            </w:r>
          </w:p>
          <w:p w:rsidR="00D35038" w:rsidRDefault="00D35038" w:rsidP="00975064">
            <w:pPr>
              <w:ind w:firstLine="6"/>
              <w:rPr>
                <w:sz w:val="28"/>
                <w:szCs w:val="28"/>
                <w:lang w:val="uk-UA"/>
              </w:rPr>
            </w:pPr>
          </w:p>
          <w:p w:rsidR="00E365FE" w:rsidRPr="005C647B" w:rsidRDefault="00CC28AD" w:rsidP="00975064">
            <w:pPr>
              <w:ind w:firstLine="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Затвердження </w:t>
            </w:r>
            <w:r w:rsidR="00976547">
              <w:rPr>
                <w:sz w:val="28"/>
                <w:szCs w:val="28"/>
                <w:lang w:val="uk-UA"/>
              </w:rPr>
              <w:t>проєкт</w:t>
            </w:r>
            <w:r>
              <w:rPr>
                <w:sz w:val="28"/>
                <w:szCs w:val="28"/>
                <w:lang w:val="uk-UA"/>
              </w:rPr>
              <w:t>у Н</w:t>
            </w:r>
            <w:r w:rsidR="00E365FE" w:rsidRPr="005C647B">
              <w:rPr>
                <w:sz w:val="28"/>
                <w:szCs w:val="28"/>
                <w:lang w:val="uk-UA"/>
              </w:rPr>
              <w:t>аказу</w:t>
            </w:r>
          </w:p>
        </w:tc>
        <w:tc>
          <w:tcPr>
            <w:tcW w:w="37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14916" w:rsidRDefault="00941BB5" w:rsidP="00A14916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 xml:space="preserve">Затвердження </w:t>
            </w:r>
            <w:r w:rsidR="00976547">
              <w:rPr>
                <w:sz w:val="28"/>
                <w:szCs w:val="28"/>
                <w:lang w:val="uk-UA"/>
              </w:rPr>
              <w:t>проєкт</w:t>
            </w:r>
            <w:r w:rsidRPr="005C647B">
              <w:rPr>
                <w:sz w:val="28"/>
                <w:szCs w:val="28"/>
                <w:lang w:val="uk-UA"/>
              </w:rPr>
              <w:t>у Н</w:t>
            </w:r>
            <w:r w:rsidR="00E365FE" w:rsidRPr="005C647B">
              <w:rPr>
                <w:sz w:val="28"/>
                <w:szCs w:val="28"/>
                <w:lang w:val="uk-UA"/>
              </w:rPr>
              <w:t>аказу дозволить</w:t>
            </w:r>
            <w:r w:rsidR="00E365FE" w:rsidRPr="003409B0">
              <w:rPr>
                <w:sz w:val="28"/>
                <w:szCs w:val="28"/>
                <w:lang w:val="uk-UA"/>
              </w:rPr>
              <w:t xml:space="preserve"> 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ЦОВЗ </w:t>
            </w:r>
            <w:r w:rsidR="00E365FE" w:rsidRPr="003409B0">
              <w:rPr>
                <w:sz w:val="28"/>
                <w:szCs w:val="28"/>
                <w:lang w:val="uk-UA"/>
              </w:rPr>
              <w:t xml:space="preserve">врегулювати та 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привести у відповідність із </w:t>
            </w:r>
            <w:r w:rsidR="00A6595E">
              <w:rPr>
                <w:sz w:val="28"/>
                <w:szCs w:val="28"/>
                <w:lang w:val="uk-UA"/>
              </w:rPr>
              <w:t>положеннями заходів пункту 1 Плану</w:t>
            </w:r>
            <w:r w:rsidR="00A6595E" w:rsidRPr="005C647B">
              <w:rPr>
                <w:sz w:val="28"/>
                <w:szCs w:val="28"/>
                <w:lang w:val="uk-UA"/>
              </w:rPr>
              <w:t xml:space="preserve"> </w:t>
            </w:r>
            <w:r w:rsidR="00A6595E">
              <w:rPr>
                <w:sz w:val="28"/>
                <w:szCs w:val="28"/>
                <w:lang w:val="uk-UA"/>
              </w:rPr>
              <w:t xml:space="preserve">та 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чинним законодавством нормативно-правовий акт з визначення вимог щодо рівня якості послуг </w:t>
            </w:r>
            <w:r w:rsidR="00B66DCC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433338">
              <w:rPr>
                <w:sz w:val="28"/>
                <w:szCs w:val="28"/>
                <w:lang w:val="uk-UA"/>
              </w:rPr>
              <w:t>;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 НКРЗІ – підвищити контроль за якістю надання послуг </w:t>
            </w:r>
            <w:r w:rsidR="00B66DCC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A6595E">
              <w:rPr>
                <w:sz w:val="28"/>
                <w:szCs w:val="28"/>
                <w:lang w:val="uk-UA"/>
              </w:rPr>
              <w:t xml:space="preserve">; </w:t>
            </w:r>
            <w:r w:rsidR="00E365FE" w:rsidRPr="005C647B">
              <w:rPr>
                <w:sz w:val="28"/>
                <w:szCs w:val="28"/>
                <w:lang w:val="uk-UA"/>
              </w:rPr>
              <w:t>операторам</w:t>
            </w:r>
            <w:r w:rsidR="009A57D1">
              <w:rPr>
                <w:sz w:val="28"/>
                <w:szCs w:val="28"/>
                <w:lang w:val="uk-UA"/>
              </w:rPr>
              <w:t xml:space="preserve">, 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провайдерам телекомунікацій, які надають послуги </w:t>
            </w:r>
            <w:r w:rsidR="00B66DCC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C9630A">
              <w:rPr>
                <w:sz w:val="28"/>
                <w:szCs w:val="28"/>
                <w:lang w:val="uk-UA"/>
              </w:rPr>
              <w:t>,</w:t>
            </w:r>
            <w:r w:rsidR="00B66DCC" w:rsidRPr="005C647B">
              <w:rPr>
                <w:sz w:val="28"/>
                <w:szCs w:val="28"/>
                <w:lang w:val="uk-UA"/>
              </w:rPr>
              <w:t xml:space="preserve"> 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– покращити </w:t>
            </w:r>
            <w:r w:rsidR="00630ABA" w:rsidRPr="005C647B">
              <w:rPr>
                <w:sz w:val="28"/>
                <w:szCs w:val="28"/>
                <w:lang w:val="uk-UA"/>
              </w:rPr>
              <w:t>які</w:t>
            </w:r>
            <w:r w:rsidR="00E365FE" w:rsidRPr="005C647B">
              <w:rPr>
                <w:sz w:val="28"/>
                <w:szCs w:val="28"/>
                <w:lang w:val="uk-UA"/>
              </w:rPr>
              <w:t>ст</w:t>
            </w:r>
            <w:r w:rsidR="00630ABA" w:rsidRPr="005C647B">
              <w:rPr>
                <w:sz w:val="28"/>
                <w:szCs w:val="28"/>
                <w:lang w:val="uk-UA"/>
              </w:rPr>
              <w:t>ь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 послуг</w:t>
            </w:r>
            <w:r w:rsidR="00CC28AD">
              <w:rPr>
                <w:sz w:val="28"/>
                <w:szCs w:val="28"/>
                <w:lang w:val="uk-UA"/>
              </w:rPr>
              <w:t>,</w:t>
            </w:r>
            <w:r w:rsidR="00433338">
              <w:rPr>
                <w:sz w:val="28"/>
                <w:szCs w:val="28"/>
                <w:lang w:val="uk-UA"/>
              </w:rPr>
              <w:t xml:space="preserve"> що надаються;</w:t>
            </w:r>
            <w:r w:rsidR="00E365FE" w:rsidRPr="005C647B">
              <w:rPr>
                <w:sz w:val="28"/>
                <w:szCs w:val="28"/>
                <w:lang w:val="uk-UA"/>
              </w:rPr>
              <w:t xml:space="preserve"> споживачам </w:t>
            </w:r>
            <w:r w:rsidR="00150DC5" w:rsidRPr="005C647B">
              <w:rPr>
                <w:sz w:val="28"/>
                <w:szCs w:val="28"/>
                <w:lang w:val="uk-UA"/>
              </w:rPr>
              <w:t xml:space="preserve">– </w:t>
            </w:r>
            <w:r w:rsidR="00E41B9F" w:rsidRPr="005C647B">
              <w:rPr>
                <w:sz w:val="28"/>
                <w:szCs w:val="28"/>
                <w:lang w:val="uk-UA"/>
              </w:rPr>
              <w:t xml:space="preserve">мати можливість здійснення вибору постачальника послуг </w:t>
            </w:r>
            <w:r w:rsidR="0073689A">
              <w:rPr>
                <w:sz w:val="28"/>
                <w:szCs w:val="28"/>
                <w:lang w:val="uk-UA"/>
              </w:rPr>
              <w:t>рухомого (мобільного) зв’язку.</w:t>
            </w:r>
          </w:p>
          <w:p w:rsidR="00E365FE" w:rsidRPr="005C647B" w:rsidRDefault="00E365FE" w:rsidP="00A14916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>Такий спосіб сприятиме досягненню цілей державного регулювання.</w:t>
            </w:r>
          </w:p>
        </w:tc>
      </w:tr>
    </w:tbl>
    <w:p w:rsidR="008D7734" w:rsidRDefault="00E365FE" w:rsidP="00C14637">
      <w:pPr>
        <w:ind w:firstLine="700"/>
        <w:jc w:val="both"/>
        <w:rPr>
          <w:sz w:val="28"/>
          <w:szCs w:val="28"/>
          <w:lang w:val="uk-UA"/>
        </w:rPr>
      </w:pPr>
      <w:r w:rsidRPr="0008694D">
        <w:rPr>
          <w:sz w:val="28"/>
          <w:szCs w:val="28"/>
          <w:lang w:val="uk-UA"/>
        </w:rPr>
        <w:t xml:space="preserve">Інші способи є неприйнятними, оскільки вирішення порушеної проблеми лежить передусім у правовій площині. </w:t>
      </w:r>
    </w:p>
    <w:p w:rsidR="00DA3BCE" w:rsidRDefault="00DA3BCE" w:rsidP="00C14637">
      <w:pPr>
        <w:ind w:firstLine="70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C14637" w:rsidRDefault="001C61A4" w:rsidP="00C14637">
      <w:pPr>
        <w:ind w:firstLine="700"/>
        <w:jc w:val="both"/>
        <w:rPr>
          <w:i/>
          <w:sz w:val="28"/>
          <w:szCs w:val="28"/>
          <w:lang w:val="uk-UA"/>
        </w:rPr>
      </w:pPr>
      <w:r w:rsidRPr="001C61A4">
        <w:rPr>
          <w:color w:val="333333"/>
          <w:sz w:val="28"/>
          <w:szCs w:val="28"/>
          <w:shd w:val="clear" w:color="auto" w:fill="FFFFFF"/>
        </w:rPr>
        <w:t>2. Оцінка вибраних альтернативних способів досягнення цілей</w:t>
      </w:r>
    </w:p>
    <w:p w:rsidR="00E365FE" w:rsidRDefault="00E365FE" w:rsidP="00F12DCC">
      <w:pPr>
        <w:rPr>
          <w:i/>
          <w:sz w:val="28"/>
          <w:szCs w:val="28"/>
          <w:lang w:val="uk-UA"/>
        </w:rPr>
      </w:pPr>
      <w:r w:rsidRPr="002A5DB1">
        <w:rPr>
          <w:i/>
          <w:sz w:val="28"/>
          <w:szCs w:val="28"/>
          <w:lang w:val="uk-UA"/>
        </w:rPr>
        <w:t>Оцінка впливу на сферу інтересів держави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94"/>
        <w:gridCol w:w="6036"/>
        <w:gridCol w:w="1249"/>
      </w:tblGrid>
      <w:tr w:rsidR="00E365FE" w:rsidRPr="001A0415" w:rsidTr="005D24AC">
        <w:tc>
          <w:tcPr>
            <w:tcW w:w="12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ind w:firstLine="148"/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E365FE" w:rsidRPr="00420434" w:rsidTr="005D24AC">
        <w:tc>
          <w:tcPr>
            <w:tcW w:w="12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2916AC" w:rsidP="002A5DB1">
            <w:pPr>
              <w:ind w:firstLine="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Альтернатива № </w:t>
            </w:r>
            <w:r w:rsidR="00E365FE" w:rsidRPr="002A5DB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A8588A" w:rsidP="009750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645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A8588A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E365FE" w:rsidRPr="00420434" w:rsidTr="005D24AC">
        <w:tc>
          <w:tcPr>
            <w:tcW w:w="1237" w:type="pct"/>
          </w:tcPr>
          <w:p w:rsidR="00E365FE" w:rsidRPr="002A5DB1" w:rsidRDefault="002916AC" w:rsidP="002916AC">
            <w:pPr>
              <w:ind w:firstLine="2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Альтернатива № </w:t>
            </w:r>
            <w:r w:rsidR="00E365FE" w:rsidRPr="002A5DB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131084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 xml:space="preserve">Забезпечить приведення у відповідність </w:t>
            </w:r>
            <w:r w:rsidR="00131084" w:rsidRPr="005C647B">
              <w:rPr>
                <w:sz w:val="28"/>
                <w:szCs w:val="28"/>
                <w:lang w:val="uk-UA"/>
              </w:rPr>
              <w:t xml:space="preserve">із </w:t>
            </w:r>
            <w:r w:rsidR="00131084">
              <w:rPr>
                <w:sz w:val="28"/>
                <w:szCs w:val="28"/>
                <w:lang w:val="uk-UA"/>
              </w:rPr>
              <w:t>положеннями заходів пункту 1 Плану</w:t>
            </w:r>
            <w:r w:rsidR="00131084" w:rsidRPr="005C647B">
              <w:rPr>
                <w:sz w:val="28"/>
                <w:szCs w:val="28"/>
                <w:lang w:val="uk-UA"/>
              </w:rPr>
              <w:t xml:space="preserve"> </w:t>
            </w:r>
            <w:r w:rsidR="00131084">
              <w:rPr>
                <w:sz w:val="28"/>
                <w:szCs w:val="28"/>
                <w:lang w:val="uk-UA"/>
              </w:rPr>
              <w:t xml:space="preserve">та </w:t>
            </w:r>
            <w:r w:rsidR="00131084" w:rsidRPr="005C647B">
              <w:rPr>
                <w:sz w:val="28"/>
                <w:szCs w:val="28"/>
                <w:lang w:val="uk-UA"/>
              </w:rPr>
              <w:t xml:space="preserve">чинним законодавством </w:t>
            </w:r>
            <w:r>
              <w:rPr>
                <w:sz w:val="28"/>
                <w:szCs w:val="28"/>
                <w:lang w:val="uk-UA"/>
              </w:rPr>
              <w:t>нормативно-правового</w:t>
            </w:r>
            <w:r w:rsidRPr="002A5DB1">
              <w:rPr>
                <w:sz w:val="28"/>
                <w:szCs w:val="28"/>
                <w:lang w:val="uk-UA"/>
              </w:rPr>
              <w:t xml:space="preserve"> акт</w:t>
            </w:r>
            <w:r w:rsidR="003409B0">
              <w:rPr>
                <w:sz w:val="28"/>
                <w:szCs w:val="28"/>
                <w:lang w:val="uk-UA"/>
              </w:rPr>
              <w:t>а</w:t>
            </w:r>
            <w:r w:rsidR="00150DC5">
              <w:rPr>
                <w:sz w:val="28"/>
                <w:szCs w:val="28"/>
                <w:lang w:val="uk-UA"/>
              </w:rPr>
              <w:t xml:space="preserve"> з визначення В</w:t>
            </w:r>
            <w:r w:rsidRPr="002A5DB1">
              <w:rPr>
                <w:sz w:val="28"/>
                <w:szCs w:val="28"/>
                <w:lang w:val="uk-UA"/>
              </w:rPr>
              <w:t xml:space="preserve">имог щодо рівня якості послуг </w:t>
            </w:r>
            <w:r w:rsidR="00F81170">
              <w:rPr>
                <w:sz w:val="28"/>
                <w:szCs w:val="28"/>
                <w:lang w:val="uk-UA"/>
              </w:rPr>
              <w:t>рухомого (мобільного) зв’язку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 w:rsidR="00433338">
              <w:rPr>
                <w:sz w:val="28"/>
                <w:szCs w:val="28"/>
                <w:lang w:val="uk-UA"/>
              </w:rPr>
              <w:t>Да</w:t>
            </w:r>
            <w:r w:rsidR="0073689A">
              <w:rPr>
                <w:sz w:val="28"/>
                <w:szCs w:val="28"/>
                <w:lang w:val="uk-UA"/>
              </w:rPr>
              <w:t>сть</w:t>
            </w:r>
            <w:r w:rsidR="00433338">
              <w:rPr>
                <w:sz w:val="28"/>
                <w:szCs w:val="28"/>
                <w:lang w:val="uk-UA"/>
              </w:rPr>
              <w:t xml:space="preserve"> м</w:t>
            </w:r>
            <w:r w:rsidR="00E90B42">
              <w:rPr>
                <w:sz w:val="28"/>
                <w:szCs w:val="28"/>
                <w:lang w:val="uk-UA"/>
              </w:rPr>
              <w:t xml:space="preserve">ожливість </w:t>
            </w:r>
            <w:r w:rsidR="00E90B42" w:rsidRPr="00E90B42">
              <w:rPr>
                <w:sz w:val="28"/>
                <w:szCs w:val="28"/>
                <w:lang w:val="uk-UA"/>
              </w:rPr>
              <w:t>об</w:t>
            </w:r>
            <w:r w:rsidR="00E90B42" w:rsidRPr="00CC28AD">
              <w:rPr>
                <w:sz w:val="28"/>
                <w:szCs w:val="28"/>
                <w:lang w:val="uk-UA"/>
              </w:rPr>
              <w:t>’</w:t>
            </w:r>
            <w:r w:rsidR="00E90B42" w:rsidRPr="00E90B42">
              <w:rPr>
                <w:sz w:val="28"/>
                <w:szCs w:val="28"/>
                <w:lang w:val="uk-UA"/>
              </w:rPr>
              <w:t xml:space="preserve">єктивно </w:t>
            </w:r>
            <w:r w:rsidR="00E33A13">
              <w:rPr>
                <w:sz w:val="28"/>
                <w:szCs w:val="28"/>
                <w:lang w:val="uk-UA"/>
              </w:rPr>
              <w:t>оцінювати</w:t>
            </w:r>
            <w:r w:rsidR="005F3A48">
              <w:rPr>
                <w:sz w:val="28"/>
                <w:szCs w:val="28"/>
                <w:lang w:val="uk-UA"/>
              </w:rPr>
              <w:t xml:space="preserve"> якість </w:t>
            </w:r>
            <w:r w:rsidR="00E90B42" w:rsidRPr="00E90B42">
              <w:rPr>
                <w:sz w:val="28"/>
                <w:szCs w:val="28"/>
                <w:lang w:val="uk-UA"/>
              </w:rPr>
              <w:t xml:space="preserve">послуг </w:t>
            </w:r>
            <w:r w:rsidR="00F81170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3409B0">
              <w:rPr>
                <w:sz w:val="28"/>
                <w:szCs w:val="28"/>
                <w:lang w:val="uk-UA"/>
              </w:rPr>
              <w:t>,</w:t>
            </w:r>
            <w:r w:rsidR="00E90B42" w:rsidRPr="00E90B42">
              <w:rPr>
                <w:sz w:val="28"/>
                <w:szCs w:val="28"/>
                <w:lang w:val="uk-UA"/>
              </w:rPr>
              <w:t xml:space="preserve"> що надаються операторами</w:t>
            </w:r>
            <w:r w:rsidR="00150DC5">
              <w:rPr>
                <w:sz w:val="28"/>
                <w:szCs w:val="28"/>
                <w:lang w:val="uk-UA"/>
              </w:rPr>
              <w:t>, провайдерами</w:t>
            </w:r>
            <w:r w:rsidR="00E90B42" w:rsidRPr="00E90B42">
              <w:rPr>
                <w:sz w:val="28"/>
                <w:szCs w:val="28"/>
                <w:lang w:val="uk-UA"/>
              </w:rPr>
              <w:t xml:space="preserve"> телекомунікацій.</w:t>
            </w:r>
            <w:r w:rsidR="002442C2">
              <w:rPr>
                <w:sz w:val="28"/>
                <w:szCs w:val="28"/>
                <w:lang w:val="uk-UA"/>
              </w:rPr>
              <w:t xml:space="preserve"> </w:t>
            </w:r>
            <w:r w:rsidR="0073689A">
              <w:rPr>
                <w:sz w:val="28"/>
                <w:szCs w:val="28"/>
                <w:lang w:val="uk-UA"/>
              </w:rPr>
              <w:t>Сприятиме</w:t>
            </w:r>
            <w:r w:rsidR="00433338">
              <w:rPr>
                <w:sz w:val="28"/>
                <w:szCs w:val="28"/>
                <w:lang w:val="uk-UA"/>
              </w:rPr>
              <w:t xml:space="preserve"> підвищенню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150DC5" w:rsidRPr="002A5DB1">
              <w:rPr>
                <w:sz w:val="28"/>
                <w:szCs w:val="28"/>
                <w:lang w:val="uk-UA"/>
              </w:rPr>
              <w:t>контролю</w:t>
            </w:r>
            <w:r w:rsidR="00150DC5">
              <w:rPr>
                <w:sz w:val="28"/>
                <w:szCs w:val="28"/>
                <w:lang w:val="uk-UA"/>
              </w:rPr>
              <w:t xml:space="preserve"> </w:t>
            </w:r>
            <w:r w:rsidR="00150DC5" w:rsidRPr="002A5DB1">
              <w:rPr>
                <w:sz w:val="28"/>
                <w:szCs w:val="28"/>
                <w:lang w:val="uk-UA"/>
              </w:rPr>
              <w:t>за</w:t>
            </w:r>
            <w:r w:rsidR="00150DC5">
              <w:rPr>
                <w:sz w:val="28"/>
                <w:szCs w:val="28"/>
                <w:lang w:val="uk-UA"/>
              </w:rPr>
              <w:t xml:space="preserve"> рівнем</w:t>
            </w:r>
            <w:r w:rsidRPr="002A5DB1">
              <w:rPr>
                <w:sz w:val="28"/>
                <w:szCs w:val="28"/>
                <w:lang w:val="uk-UA"/>
              </w:rPr>
              <w:t xml:space="preserve"> як</w:t>
            </w:r>
            <w:r w:rsidR="00150DC5">
              <w:rPr>
                <w:sz w:val="28"/>
                <w:szCs w:val="28"/>
                <w:lang w:val="uk-UA"/>
              </w:rPr>
              <w:t>о</w:t>
            </w:r>
            <w:r w:rsidRPr="002A5DB1">
              <w:rPr>
                <w:sz w:val="28"/>
                <w:szCs w:val="28"/>
                <w:lang w:val="uk-UA"/>
              </w:rPr>
              <w:t>ст</w:t>
            </w:r>
            <w:r w:rsidR="00150DC5">
              <w:rPr>
                <w:sz w:val="28"/>
                <w:szCs w:val="28"/>
                <w:lang w:val="uk-UA"/>
              </w:rPr>
              <w:t>і</w:t>
            </w:r>
            <w:r w:rsidRPr="002A5DB1">
              <w:rPr>
                <w:sz w:val="28"/>
                <w:szCs w:val="28"/>
                <w:lang w:val="uk-UA"/>
              </w:rPr>
              <w:t xml:space="preserve"> надання послуг</w:t>
            </w:r>
            <w:r w:rsidR="00131084">
              <w:rPr>
                <w:sz w:val="28"/>
                <w:szCs w:val="28"/>
                <w:lang w:val="uk-UA"/>
              </w:rPr>
              <w:t xml:space="preserve"> в мережах рухомого (мобільного) зв’язку.</w:t>
            </w:r>
          </w:p>
        </w:tc>
        <w:tc>
          <w:tcPr>
            <w:tcW w:w="64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A8588A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DA3BCE" w:rsidRDefault="00DA3BCE" w:rsidP="00F12DCC">
      <w:pPr>
        <w:rPr>
          <w:i/>
          <w:sz w:val="28"/>
          <w:szCs w:val="28"/>
          <w:lang w:val="uk-UA"/>
        </w:rPr>
      </w:pPr>
    </w:p>
    <w:p w:rsidR="00E365FE" w:rsidRDefault="00E365FE" w:rsidP="00F12DCC">
      <w:pPr>
        <w:rPr>
          <w:i/>
          <w:sz w:val="28"/>
          <w:szCs w:val="28"/>
          <w:lang w:val="uk-UA"/>
        </w:rPr>
      </w:pPr>
      <w:r w:rsidRPr="002A5DB1">
        <w:rPr>
          <w:i/>
          <w:sz w:val="28"/>
          <w:szCs w:val="28"/>
          <w:lang w:val="uk-UA"/>
        </w:rPr>
        <w:t>Оцінка впливу на сферу інтересів громадян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87"/>
        <w:gridCol w:w="6047"/>
        <w:gridCol w:w="1245"/>
      </w:tblGrid>
      <w:tr w:rsidR="00E365FE" w:rsidRPr="002A5DB1" w:rsidTr="005D24AC">
        <w:tc>
          <w:tcPr>
            <w:tcW w:w="123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64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2A5DB1" w:rsidRDefault="00E365FE" w:rsidP="00975064">
            <w:pPr>
              <w:ind w:hanging="13"/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E365FE" w:rsidRPr="00420434" w:rsidTr="005D24AC">
        <w:tc>
          <w:tcPr>
            <w:tcW w:w="123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BB2214" w:rsidRDefault="00E365FE" w:rsidP="00975064">
            <w:pPr>
              <w:ind w:firstLine="6"/>
              <w:jc w:val="center"/>
              <w:rPr>
                <w:b/>
                <w:sz w:val="28"/>
                <w:szCs w:val="28"/>
                <w:lang w:val="uk-UA"/>
              </w:rPr>
            </w:pPr>
            <w:r w:rsidRPr="00BB2214">
              <w:rPr>
                <w:sz w:val="28"/>
                <w:szCs w:val="28"/>
                <w:lang w:val="uk-UA"/>
              </w:rPr>
              <w:t>Альтернатива № 1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6709EC" w:rsidRDefault="00CC28AD" w:rsidP="0097506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643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6709EC" w:rsidRDefault="00CC28AD" w:rsidP="00975064">
            <w:pPr>
              <w:ind w:hanging="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E365FE" w:rsidRPr="00420434" w:rsidTr="005D24AC">
        <w:tc>
          <w:tcPr>
            <w:tcW w:w="1233" w:type="pct"/>
          </w:tcPr>
          <w:p w:rsidR="00E365FE" w:rsidRPr="009C1ACC" w:rsidRDefault="00E365FE" w:rsidP="00975064">
            <w:pPr>
              <w:ind w:firstLine="6"/>
              <w:jc w:val="center"/>
              <w:rPr>
                <w:sz w:val="28"/>
                <w:szCs w:val="28"/>
                <w:lang w:val="uk-UA"/>
              </w:rPr>
            </w:pPr>
            <w:r w:rsidRPr="009C1ACC">
              <w:rPr>
                <w:sz w:val="28"/>
                <w:szCs w:val="28"/>
                <w:lang w:val="uk-UA"/>
              </w:rPr>
              <w:t>Альтернатива № 2</w:t>
            </w:r>
          </w:p>
        </w:tc>
        <w:tc>
          <w:tcPr>
            <w:tcW w:w="3124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E365FE" w:rsidRPr="009C1ACC" w:rsidRDefault="00496F3E" w:rsidP="003A6211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Дає м</w:t>
            </w:r>
            <w:r w:rsidR="002442C2">
              <w:rPr>
                <w:sz w:val="28"/>
                <w:szCs w:val="28"/>
                <w:lang w:val="uk-UA"/>
              </w:rPr>
              <w:t xml:space="preserve">ожливість </w:t>
            </w:r>
            <w:r w:rsidR="005063AE">
              <w:rPr>
                <w:sz w:val="28"/>
                <w:szCs w:val="28"/>
                <w:lang w:val="uk-UA"/>
              </w:rPr>
              <w:t xml:space="preserve">отримання об’єктивної інформації про рівень якості послуг рухомого (мобільного) зв’язку, </w:t>
            </w:r>
            <w:r w:rsidR="002442C2">
              <w:rPr>
                <w:sz w:val="28"/>
                <w:szCs w:val="28"/>
                <w:lang w:val="uk-UA"/>
              </w:rPr>
              <w:t>вибору постачальника послуг (оператора</w:t>
            </w:r>
            <w:r>
              <w:rPr>
                <w:sz w:val="28"/>
                <w:szCs w:val="28"/>
                <w:lang w:val="uk-UA"/>
              </w:rPr>
              <w:t>, провайдера</w:t>
            </w:r>
            <w:r w:rsidR="002442C2">
              <w:rPr>
                <w:sz w:val="28"/>
                <w:szCs w:val="28"/>
                <w:lang w:val="uk-UA"/>
              </w:rPr>
              <w:t xml:space="preserve"> телекомунікацій) при</w:t>
            </w:r>
            <w:r w:rsidR="002442C2" w:rsidRPr="00AA510D">
              <w:rPr>
                <w:sz w:val="28"/>
                <w:szCs w:val="28"/>
                <w:lang w:val="uk-UA"/>
              </w:rPr>
              <w:t xml:space="preserve"> отриманні послуг </w:t>
            </w:r>
            <w:r w:rsidR="0073689A">
              <w:rPr>
                <w:sz w:val="28"/>
                <w:szCs w:val="28"/>
                <w:lang w:val="uk-UA"/>
              </w:rPr>
              <w:t xml:space="preserve">рухомого (мобільного) зв’язку </w:t>
            </w:r>
            <w:r w:rsidR="002442C2">
              <w:rPr>
                <w:sz w:val="28"/>
                <w:szCs w:val="28"/>
                <w:lang w:val="uk-UA"/>
              </w:rPr>
              <w:t>визначеної якості.</w:t>
            </w:r>
          </w:p>
        </w:tc>
        <w:tc>
          <w:tcPr>
            <w:tcW w:w="64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6709EC" w:rsidRDefault="00CC28AD" w:rsidP="00975064">
            <w:pPr>
              <w:ind w:firstLine="6"/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DA3BCE" w:rsidRDefault="00DA3BCE" w:rsidP="00FA2195">
      <w:pPr>
        <w:jc w:val="both"/>
        <w:rPr>
          <w:i/>
          <w:sz w:val="28"/>
          <w:szCs w:val="28"/>
          <w:lang w:val="uk-UA"/>
        </w:rPr>
      </w:pPr>
    </w:p>
    <w:p w:rsidR="00DA3BCE" w:rsidRDefault="00DA3BCE" w:rsidP="00FA2195">
      <w:pPr>
        <w:jc w:val="both"/>
        <w:rPr>
          <w:i/>
          <w:sz w:val="28"/>
          <w:szCs w:val="28"/>
          <w:lang w:val="uk-UA"/>
        </w:rPr>
      </w:pPr>
    </w:p>
    <w:p w:rsidR="00E365FE" w:rsidRDefault="00E365FE" w:rsidP="00FA2195">
      <w:pPr>
        <w:jc w:val="both"/>
        <w:rPr>
          <w:i/>
          <w:sz w:val="28"/>
          <w:szCs w:val="28"/>
          <w:lang w:val="uk-UA"/>
        </w:rPr>
      </w:pPr>
      <w:r w:rsidRPr="002A5DB1">
        <w:rPr>
          <w:i/>
          <w:sz w:val="28"/>
          <w:szCs w:val="28"/>
          <w:lang w:val="uk-UA"/>
        </w:rPr>
        <w:lastRenderedPageBreak/>
        <w:t>Оцінка впливу на сферу інтересів суб’єктів господарювання</w:t>
      </w:r>
    </w:p>
    <w:tbl>
      <w:tblPr>
        <w:tblW w:w="4908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780"/>
        <w:gridCol w:w="1015"/>
        <w:gridCol w:w="1147"/>
        <w:gridCol w:w="852"/>
        <w:gridCol w:w="952"/>
        <w:gridCol w:w="912"/>
      </w:tblGrid>
      <w:tr w:rsidR="00564ABC" w:rsidRPr="002A5DB1" w:rsidTr="00FB4C6E">
        <w:trPr>
          <w:trHeight w:val="284"/>
        </w:trPr>
        <w:tc>
          <w:tcPr>
            <w:tcW w:w="24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5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5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4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4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4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D87425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Разом</w:t>
            </w:r>
          </w:p>
        </w:tc>
      </w:tr>
      <w:tr w:rsidR="00564ABC" w:rsidRPr="00420434" w:rsidTr="00FB4C6E">
        <w:trPr>
          <w:trHeight w:val="907"/>
        </w:trPr>
        <w:tc>
          <w:tcPr>
            <w:tcW w:w="247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BB2214" w:rsidRDefault="001367F7" w:rsidP="00B540B3">
            <w:pPr>
              <w:ind w:firstLine="6"/>
              <w:rPr>
                <w:sz w:val="28"/>
                <w:szCs w:val="28"/>
                <w:lang w:val="uk-UA"/>
              </w:rPr>
            </w:pPr>
            <w:r w:rsidRPr="00BB2214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 (одиниць)</w:t>
            </w:r>
          </w:p>
        </w:tc>
        <w:tc>
          <w:tcPr>
            <w:tcW w:w="52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564ABC" w:rsidRDefault="00564ABC" w:rsidP="0033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594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564ABC" w:rsidRDefault="00564ABC" w:rsidP="00564A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564ABC" w:rsidRDefault="00564ABC" w:rsidP="00564ABC">
            <w:pPr>
              <w:jc w:val="center"/>
              <w:rPr>
                <w:sz w:val="28"/>
                <w:szCs w:val="28"/>
                <w:lang w:val="uk-UA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9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337DB0" w:rsidRDefault="00564ABC" w:rsidP="00332E3E">
            <w:pPr>
              <w:jc w:val="center"/>
              <w:rPr>
                <w:sz w:val="28"/>
                <w:szCs w:val="28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7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2A5DB1" w:rsidRDefault="00131084" w:rsidP="00B52E58">
            <w:pPr>
              <w:ind w:firstLine="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564ABC" w:rsidRPr="00420434" w:rsidTr="00FB4C6E">
        <w:tc>
          <w:tcPr>
            <w:tcW w:w="2474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BB2214" w:rsidRDefault="001367F7" w:rsidP="00B540B3">
            <w:pPr>
              <w:ind w:firstLine="6"/>
              <w:rPr>
                <w:sz w:val="28"/>
                <w:szCs w:val="28"/>
                <w:lang w:val="uk-UA"/>
              </w:rPr>
            </w:pPr>
            <w:r w:rsidRPr="00BB2214">
              <w:rPr>
                <w:sz w:val="28"/>
                <w:szCs w:val="28"/>
                <w:lang w:val="uk-UA"/>
              </w:rPr>
              <w:t>Питома вага групи у загальній кількості (у відсотках)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564ABC" w:rsidRDefault="00564ABC" w:rsidP="00332E3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564ABC" w:rsidRDefault="00564ABC" w:rsidP="00564AB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337DB0" w:rsidRDefault="00564ABC" w:rsidP="00564ABC">
            <w:pPr>
              <w:jc w:val="center"/>
              <w:rPr>
                <w:sz w:val="28"/>
                <w:szCs w:val="28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337DB0" w:rsidRDefault="00564ABC" w:rsidP="00332E3E">
            <w:pPr>
              <w:jc w:val="center"/>
              <w:rPr>
                <w:sz w:val="28"/>
                <w:szCs w:val="28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67F7" w:rsidRPr="002A5DB1" w:rsidRDefault="00451643" w:rsidP="00975064">
            <w:pPr>
              <w:ind w:firstLine="52"/>
              <w:jc w:val="center"/>
              <w:rPr>
                <w:sz w:val="28"/>
                <w:szCs w:val="28"/>
                <w:lang w:val="uk-UA"/>
              </w:rPr>
            </w:pPr>
            <w:r>
              <w:rPr>
                <w:rStyle w:val="spelle"/>
                <w:color w:val="000000"/>
                <w:szCs w:val="28"/>
                <w:shd w:val="clear" w:color="auto" w:fill="FFFFFF"/>
                <w:lang w:val="uk-UA"/>
              </w:rPr>
              <w:t>Х</w:t>
            </w:r>
          </w:p>
        </w:tc>
      </w:tr>
    </w:tbl>
    <w:p w:rsidR="00FB4C6E" w:rsidRPr="00D3201B" w:rsidRDefault="00FB4C6E" w:rsidP="00FB4C6E">
      <w:pPr>
        <w:spacing w:before="120" w:after="120"/>
        <w:ind w:firstLine="709"/>
        <w:jc w:val="both"/>
        <w:rPr>
          <w:b/>
          <w:sz w:val="20"/>
          <w:szCs w:val="20"/>
          <w:lang w:val="uk-UA"/>
        </w:rPr>
      </w:pPr>
    </w:p>
    <w:tbl>
      <w:tblPr>
        <w:tblW w:w="4908" w:type="pct"/>
        <w:tblInd w:w="100" w:type="dxa"/>
        <w:tblCellMar>
          <w:left w:w="0" w:type="dxa"/>
          <w:right w:w="0" w:type="dxa"/>
        </w:tblCellMar>
        <w:tblLook w:val="0000"/>
      </w:tblPr>
      <w:tblGrid>
        <w:gridCol w:w="2552"/>
        <w:gridCol w:w="3703"/>
        <w:gridCol w:w="3403"/>
      </w:tblGrid>
      <w:tr w:rsidR="00E365FE" w:rsidRPr="002A5DB1" w:rsidTr="008D7734">
        <w:trPr>
          <w:trHeight w:val="261"/>
        </w:trPr>
        <w:tc>
          <w:tcPr>
            <w:tcW w:w="1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C13F6" w:rsidP="00975064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3D3CDA">
              <w:br w:type="page"/>
            </w:r>
            <w:r w:rsidR="00E365FE" w:rsidRPr="002A5DB1">
              <w:rPr>
                <w:sz w:val="28"/>
                <w:szCs w:val="28"/>
                <w:lang w:val="uk-UA"/>
              </w:rPr>
              <w:t>Вид альтернативи</w:t>
            </w:r>
          </w:p>
        </w:tc>
        <w:tc>
          <w:tcPr>
            <w:tcW w:w="191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975064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762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65FE" w:rsidRPr="002A5DB1" w:rsidRDefault="00E365FE" w:rsidP="00692FEA">
            <w:pPr>
              <w:jc w:val="center"/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0E1420" w:rsidRPr="001C61A4" w:rsidTr="008D7734">
        <w:trPr>
          <w:trHeight w:val="312"/>
        </w:trPr>
        <w:tc>
          <w:tcPr>
            <w:tcW w:w="1321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2A5DB1" w:rsidRDefault="000E1420" w:rsidP="002916AC">
            <w:pPr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>Альтернатива</w:t>
            </w:r>
            <w:r>
              <w:rPr>
                <w:sz w:val="28"/>
                <w:szCs w:val="28"/>
                <w:lang w:val="uk-UA"/>
              </w:rPr>
              <w:t xml:space="preserve"> № </w:t>
            </w:r>
            <w:r w:rsidRPr="002A5DB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2A5DB1" w:rsidRDefault="000E1420" w:rsidP="00847E1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2A5DB1" w:rsidRDefault="000E1420" w:rsidP="00C97192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0E1420" w:rsidRPr="00180188" w:rsidTr="00C9630A">
        <w:trPr>
          <w:trHeight w:val="6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2A5DB1" w:rsidRDefault="000E1420" w:rsidP="00975064">
            <w:pPr>
              <w:rPr>
                <w:sz w:val="28"/>
                <w:szCs w:val="28"/>
                <w:lang w:val="uk-UA"/>
              </w:rPr>
            </w:pPr>
            <w:r w:rsidRPr="002A5DB1">
              <w:rPr>
                <w:sz w:val="28"/>
                <w:szCs w:val="28"/>
                <w:lang w:val="uk-UA"/>
              </w:rPr>
              <w:t xml:space="preserve">Альтернатива </w:t>
            </w:r>
            <w:r>
              <w:rPr>
                <w:sz w:val="28"/>
                <w:szCs w:val="28"/>
                <w:lang w:val="uk-UA"/>
              </w:rPr>
              <w:t>№ </w:t>
            </w:r>
            <w:r w:rsidRPr="002A5DB1">
              <w:rPr>
                <w:sz w:val="28"/>
                <w:szCs w:val="28"/>
                <w:lang w:val="uk-UA"/>
              </w:rPr>
              <w:t>2</w:t>
            </w:r>
          </w:p>
          <w:p w:rsidR="000E1420" w:rsidRPr="002A5DB1" w:rsidRDefault="000E1420" w:rsidP="00975064">
            <w:pPr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1367F7" w:rsidRDefault="000E1420" w:rsidP="00C9630A">
            <w:pPr>
              <w:ind w:firstLine="405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Дозволить оператору, провайдеру телекомунікацій об’єктивно оцінити дотримання визначеного рівня</w:t>
            </w:r>
            <w:r w:rsidRPr="0081149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показника </w:t>
            </w:r>
            <w:r w:rsidRPr="00811490">
              <w:rPr>
                <w:sz w:val="28"/>
                <w:szCs w:val="28"/>
                <w:lang w:val="uk-UA"/>
              </w:rPr>
              <w:t xml:space="preserve">якості послуг </w:t>
            </w:r>
            <w:r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Pr="005A5BC7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покращити</w:t>
            </w:r>
            <w:r w:rsidRPr="002A5D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якість</w:t>
            </w:r>
            <w:r w:rsidRPr="002A5DB1">
              <w:rPr>
                <w:sz w:val="28"/>
                <w:szCs w:val="28"/>
                <w:lang w:val="uk-UA"/>
              </w:rPr>
              <w:t xml:space="preserve"> послуг </w:t>
            </w:r>
            <w:r>
              <w:rPr>
                <w:sz w:val="28"/>
                <w:szCs w:val="28"/>
                <w:lang w:val="uk-UA"/>
              </w:rPr>
              <w:t>рухомого (мобільного) зв’язку. Зменшить</w:t>
            </w:r>
            <w:r w:rsidRPr="003D3C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додаткове</w:t>
            </w:r>
            <w:r w:rsidRPr="003D3CDA">
              <w:rPr>
                <w:sz w:val="28"/>
                <w:szCs w:val="28"/>
                <w:lang w:val="uk-UA" w:eastAsia="uk-UA"/>
              </w:rPr>
              <w:t xml:space="preserve"> фінансового навантаження на суб’єктів господарювання,</w:t>
            </w:r>
            <w:r w:rsidRPr="003D3CDA">
              <w:rPr>
                <w:sz w:val="28"/>
                <w:szCs w:val="28"/>
                <w:lang w:val="uk-UA"/>
              </w:rPr>
              <w:t xml:space="preserve"> які </w:t>
            </w:r>
            <w:r>
              <w:rPr>
                <w:sz w:val="28"/>
                <w:szCs w:val="28"/>
                <w:lang w:val="uk-UA"/>
              </w:rPr>
              <w:t>провадять</w:t>
            </w:r>
            <w:r w:rsidRPr="003D3CDA">
              <w:rPr>
                <w:sz w:val="28"/>
                <w:szCs w:val="28"/>
                <w:lang w:val="uk-UA"/>
              </w:rPr>
              <w:t xml:space="preserve"> діяльність у сфері телекомунікацій.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1420" w:rsidRPr="002A5DB1" w:rsidRDefault="000E1420" w:rsidP="00A8588A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8B5AC3" w:rsidRPr="00D3201B" w:rsidRDefault="008B5AC3" w:rsidP="002916AC">
      <w:pPr>
        <w:spacing w:before="120" w:after="120"/>
        <w:ind w:firstLine="709"/>
        <w:jc w:val="both"/>
        <w:rPr>
          <w:b/>
          <w:sz w:val="20"/>
          <w:szCs w:val="20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961"/>
      </w:tblGrid>
      <w:tr w:rsidR="008B5AC3" w:rsidRPr="004038C1" w:rsidTr="008B5AC3">
        <w:tc>
          <w:tcPr>
            <w:tcW w:w="4678" w:type="dxa"/>
          </w:tcPr>
          <w:p w:rsidR="008B5AC3" w:rsidRPr="004038C1" w:rsidRDefault="008B5AC3" w:rsidP="00C97192">
            <w:pPr>
              <w:spacing w:before="80" w:after="80"/>
              <w:jc w:val="center"/>
              <w:rPr>
                <w:sz w:val="28"/>
                <w:szCs w:val="26"/>
              </w:rPr>
            </w:pPr>
            <w:r w:rsidRPr="004038C1">
              <w:rPr>
                <w:sz w:val="28"/>
                <w:szCs w:val="26"/>
              </w:rPr>
              <w:t>Сумарні витрати за альтернативами</w:t>
            </w:r>
          </w:p>
        </w:tc>
        <w:tc>
          <w:tcPr>
            <w:tcW w:w="4961" w:type="dxa"/>
          </w:tcPr>
          <w:p w:rsidR="008B5AC3" w:rsidRPr="004038C1" w:rsidRDefault="008B5AC3" w:rsidP="00C97192">
            <w:pPr>
              <w:spacing w:before="80" w:after="80"/>
              <w:jc w:val="center"/>
              <w:rPr>
                <w:sz w:val="28"/>
                <w:szCs w:val="26"/>
              </w:rPr>
            </w:pPr>
            <w:r w:rsidRPr="004038C1">
              <w:rPr>
                <w:sz w:val="28"/>
                <w:szCs w:val="26"/>
              </w:rPr>
              <w:t>Сума витрат, гривень</w:t>
            </w:r>
          </w:p>
        </w:tc>
      </w:tr>
      <w:tr w:rsidR="008B5AC3" w:rsidRPr="004038C1" w:rsidTr="008B5AC3">
        <w:tc>
          <w:tcPr>
            <w:tcW w:w="4678" w:type="dxa"/>
          </w:tcPr>
          <w:p w:rsidR="008B5AC3" w:rsidRPr="004038C1" w:rsidRDefault="008B5AC3" w:rsidP="00C97192">
            <w:pPr>
              <w:spacing w:before="80" w:after="80"/>
              <w:jc w:val="both"/>
              <w:rPr>
                <w:sz w:val="28"/>
                <w:szCs w:val="26"/>
              </w:rPr>
            </w:pPr>
            <w:r w:rsidRPr="004038C1">
              <w:rPr>
                <w:sz w:val="28"/>
                <w:szCs w:val="26"/>
              </w:rPr>
              <w:t>Альтернатива 1</w:t>
            </w:r>
          </w:p>
        </w:tc>
        <w:tc>
          <w:tcPr>
            <w:tcW w:w="4961" w:type="dxa"/>
          </w:tcPr>
          <w:p w:rsidR="008B5AC3" w:rsidRPr="004038C1" w:rsidRDefault="001C31C9" w:rsidP="00C97192">
            <w:pPr>
              <w:spacing w:before="80" w:after="80"/>
              <w:jc w:val="center"/>
              <w:rPr>
                <w:sz w:val="28"/>
                <w:szCs w:val="26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</w:tr>
      <w:tr w:rsidR="008B5AC3" w:rsidRPr="004038C1" w:rsidTr="008B5AC3">
        <w:tc>
          <w:tcPr>
            <w:tcW w:w="4678" w:type="dxa"/>
          </w:tcPr>
          <w:p w:rsidR="008B5AC3" w:rsidRPr="004038C1" w:rsidRDefault="008B5AC3" w:rsidP="00C97192">
            <w:pPr>
              <w:spacing w:before="80" w:after="80"/>
              <w:jc w:val="both"/>
              <w:rPr>
                <w:sz w:val="28"/>
                <w:szCs w:val="26"/>
              </w:rPr>
            </w:pPr>
            <w:r w:rsidRPr="004038C1">
              <w:rPr>
                <w:sz w:val="28"/>
                <w:szCs w:val="26"/>
              </w:rPr>
              <w:t>Альтернатива 2</w:t>
            </w:r>
          </w:p>
        </w:tc>
        <w:tc>
          <w:tcPr>
            <w:tcW w:w="4961" w:type="dxa"/>
          </w:tcPr>
          <w:p w:rsidR="008B5AC3" w:rsidRPr="004038C1" w:rsidRDefault="001C31C9" w:rsidP="00C97192">
            <w:pPr>
              <w:spacing w:before="80" w:after="80"/>
              <w:jc w:val="center"/>
              <w:rPr>
                <w:sz w:val="28"/>
                <w:szCs w:val="26"/>
              </w:rPr>
            </w:pPr>
            <w:r w:rsidRPr="005C647B">
              <w:rPr>
                <w:sz w:val="28"/>
                <w:szCs w:val="28"/>
                <w:lang w:val="uk-UA"/>
              </w:rPr>
              <w:t>–</w:t>
            </w:r>
          </w:p>
        </w:tc>
      </w:tr>
    </w:tbl>
    <w:p w:rsidR="00DA3BCE" w:rsidRPr="00D3201B" w:rsidRDefault="00DA3BCE" w:rsidP="002916AC">
      <w:pPr>
        <w:spacing w:before="120" w:after="120"/>
        <w:ind w:firstLine="709"/>
        <w:jc w:val="both"/>
        <w:rPr>
          <w:b/>
          <w:lang w:val="uk-UA"/>
        </w:rPr>
      </w:pPr>
    </w:p>
    <w:p w:rsidR="00E365FE" w:rsidRPr="00180188" w:rsidRDefault="00E365FE" w:rsidP="002916AC">
      <w:pPr>
        <w:spacing w:before="120" w:after="120"/>
        <w:ind w:firstLine="709"/>
        <w:jc w:val="both"/>
        <w:rPr>
          <w:b/>
          <w:sz w:val="28"/>
          <w:szCs w:val="28"/>
          <w:lang w:val="uk-UA"/>
        </w:rPr>
      </w:pPr>
      <w:r w:rsidRPr="0004137A">
        <w:rPr>
          <w:b/>
          <w:sz w:val="28"/>
          <w:szCs w:val="28"/>
        </w:rPr>
        <w:t>IV</w:t>
      </w:r>
      <w:r w:rsidR="002916AC">
        <w:rPr>
          <w:b/>
          <w:sz w:val="28"/>
          <w:szCs w:val="28"/>
          <w:lang w:val="uk-UA"/>
        </w:rPr>
        <w:t>.  </w:t>
      </w:r>
      <w:r w:rsidRPr="00180188">
        <w:rPr>
          <w:b/>
          <w:sz w:val="28"/>
          <w:szCs w:val="28"/>
          <w:lang w:val="uk-UA"/>
        </w:rPr>
        <w:t>Вибір найбільш оптимального альтернативного способу досягнення цілей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24"/>
        <w:gridCol w:w="2410"/>
        <w:gridCol w:w="4835"/>
      </w:tblGrid>
      <w:tr w:rsidR="00330FC3" w:rsidRPr="0027122E" w:rsidTr="00C9630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5D24AC" w:rsidRDefault="00E365FE" w:rsidP="008B5AC3">
            <w:pPr>
              <w:jc w:val="center"/>
              <w:rPr>
                <w:sz w:val="28"/>
                <w:szCs w:val="28"/>
              </w:rPr>
            </w:pPr>
            <w:r w:rsidRPr="00180188">
              <w:rPr>
                <w:sz w:val="28"/>
                <w:szCs w:val="28"/>
                <w:lang w:val="uk-UA"/>
              </w:rPr>
              <w:t xml:space="preserve">Рейтинг результативності </w:t>
            </w:r>
            <w:r w:rsidR="00FB4C6E" w:rsidRPr="00180188">
              <w:rPr>
                <w:sz w:val="28"/>
                <w:szCs w:val="28"/>
                <w:lang w:val="uk-UA"/>
              </w:rPr>
              <w:t xml:space="preserve">(досягнення цілей під </w:t>
            </w:r>
            <w:r w:rsidR="00FB4C6E" w:rsidRPr="005D24AC">
              <w:rPr>
                <w:sz w:val="28"/>
                <w:szCs w:val="28"/>
              </w:rPr>
              <w:t>час вирішення проблеми)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62" w:rsidRPr="005D24AC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5D24AC">
              <w:rPr>
                <w:sz w:val="28"/>
                <w:szCs w:val="28"/>
              </w:rPr>
              <w:t xml:space="preserve">Бал результативності </w:t>
            </w:r>
          </w:p>
          <w:p w:rsidR="00E365FE" w:rsidRPr="005D24AC" w:rsidRDefault="00E365FE" w:rsidP="000D553F">
            <w:pPr>
              <w:jc w:val="center"/>
              <w:rPr>
                <w:sz w:val="28"/>
                <w:szCs w:val="28"/>
              </w:rPr>
            </w:pPr>
            <w:r w:rsidRPr="005D24AC">
              <w:rPr>
                <w:sz w:val="28"/>
                <w:szCs w:val="28"/>
              </w:rPr>
              <w:t>(за чотирибальною системою оцінки)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5D24AC" w:rsidRDefault="00E365FE" w:rsidP="000D553F">
            <w:pPr>
              <w:jc w:val="center"/>
              <w:rPr>
                <w:sz w:val="28"/>
                <w:szCs w:val="28"/>
              </w:rPr>
            </w:pPr>
            <w:r w:rsidRPr="005D24AC">
              <w:rPr>
                <w:sz w:val="28"/>
                <w:szCs w:val="28"/>
              </w:rPr>
              <w:t>Коментарі щодо присвоєння відповідного бала</w:t>
            </w:r>
          </w:p>
        </w:tc>
      </w:tr>
      <w:tr w:rsidR="00330FC3" w:rsidRPr="00C11B42" w:rsidTr="00C9630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99707A" w:rsidRDefault="00E365FE" w:rsidP="002916AC">
            <w:pPr>
              <w:ind w:left="142"/>
              <w:rPr>
                <w:sz w:val="28"/>
                <w:szCs w:val="28"/>
              </w:rPr>
            </w:pPr>
            <w:r w:rsidRPr="0099707A">
              <w:rPr>
                <w:sz w:val="28"/>
                <w:szCs w:val="28"/>
              </w:rPr>
              <w:t>Альтернатива</w:t>
            </w:r>
            <w:r w:rsidR="00C9630A">
              <w:rPr>
                <w:sz w:val="28"/>
                <w:szCs w:val="28"/>
                <w:lang w:val="uk-UA"/>
              </w:rPr>
              <w:t xml:space="preserve"> №</w:t>
            </w:r>
            <w:r w:rsidR="002916AC">
              <w:rPr>
                <w:sz w:val="28"/>
                <w:szCs w:val="28"/>
              </w:rPr>
              <w:t> </w:t>
            </w:r>
            <w:r w:rsidRPr="0099707A">
              <w:rPr>
                <w:sz w:val="28"/>
                <w:szCs w:val="28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FA2195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709" w:rsidRDefault="003E3C96" w:rsidP="00C35709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</w:t>
            </w:r>
            <w:r w:rsidR="00E365FE" w:rsidRPr="006709EC">
              <w:rPr>
                <w:sz w:val="28"/>
                <w:szCs w:val="28"/>
                <w:lang w:val="uk-UA"/>
              </w:rPr>
              <w:t xml:space="preserve">приведення у відповідність із </w:t>
            </w:r>
            <w:r w:rsidR="00E365FE" w:rsidRPr="006709EC">
              <w:rPr>
                <w:sz w:val="28"/>
                <w:szCs w:val="28"/>
                <w:lang w:val="uk-UA"/>
              </w:rPr>
              <w:lastRenderedPageBreak/>
              <w:t xml:space="preserve">чинним законодавством </w:t>
            </w:r>
            <w:r w:rsidR="00E365FE">
              <w:rPr>
                <w:sz w:val="28"/>
                <w:szCs w:val="28"/>
                <w:lang w:val="uk-UA"/>
              </w:rPr>
              <w:t xml:space="preserve">норм </w:t>
            </w:r>
            <w:r w:rsidR="00C11B42">
              <w:rPr>
                <w:sz w:val="28"/>
                <w:szCs w:val="28"/>
                <w:lang w:val="uk-UA"/>
              </w:rPr>
              <w:t>Показників якості</w:t>
            </w:r>
            <w:r w:rsidR="00E365FE" w:rsidRPr="006709EC">
              <w:rPr>
                <w:sz w:val="28"/>
                <w:szCs w:val="28"/>
                <w:lang w:val="uk-UA"/>
              </w:rPr>
              <w:t xml:space="preserve"> </w:t>
            </w:r>
            <w:r w:rsidR="00E365FE" w:rsidRPr="00A8588A">
              <w:rPr>
                <w:sz w:val="28"/>
                <w:szCs w:val="28"/>
                <w:lang w:val="uk-UA"/>
              </w:rPr>
              <w:t xml:space="preserve">унеможливлює </w:t>
            </w:r>
            <w:r w:rsidR="003B19E5" w:rsidRPr="00A8588A">
              <w:rPr>
                <w:sz w:val="28"/>
                <w:szCs w:val="28"/>
                <w:lang w:val="uk-UA"/>
              </w:rPr>
              <w:t xml:space="preserve">об’єктивну </w:t>
            </w:r>
            <w:r w:rsidR="00E365FE" w:rsidRPr="00A8588A">
              <w:rPr>
                <w:sz w:val="28"/>
                <w:szCs w:val="28"/>
                <w:lang w:val="uk-UA"/>
              </w:rPr>
              <w:t>о</w:t>
            </w:r>
            <w:r w:rsidR="00E365FE" w:rsidRPr="00FA2195">
              <w:rPr>
                <w:sz w:val="28"/>
                <w:szCs w:val="28"/>
                <w:lang w:val="uk-UA"/>
              </w:rPr>
              <w:t>цінку</w:t>
            </w:r>
            <w:r w:rsidR="00A8588A">
              <w:rPr>
                <w:sz w:val="28"/>
                <w:szCs w:val="28"/>
                <w:lang w:val="uk-UA"/>
              </w:rPr>
              <w:t xml:space="preserve"> дотримання оператором</w:t>
            </w:r>
            <w:r w:rsidR="005D24AC">
              <w:rPr>
                <w:sz w:val="28"/>
                <w:szCs w:val="28"/>
                <w:lang w:val="uk-UA"/>
              </w:rPr>
              <w:t>, провайдером телекомунікацій</w:t>
            </w:r>
            <w:r w:rsidR="00E365FE" w:rsidRPr="00673AC7">
              <w:rPr>
                <w:sz w:val="28"/>
                <w:szCs w:val="28"/>
                <w:lang w:val="uk-UA"/>
              </w:rPr>
              <w:t xml:space="preserve"> встановлених </w:t>
            </w:r>
            <w:r w:rsidR="00E365FE">
              <w:rPr>
                <w:sz w:val="28"/>
                <w:szCs w:val="28"/>
                <w:lang w:val="uk-UA"/>
              </w:rPr>
              <w:t xml:space="preserve">рівнів показників якості </w:t>
            </w:r>
            <w:r w:rsidR="00C35709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E365FE">
              <w:rPr>
                <w:sz w:val="28"/>
                <w:szCs w:val="28"/>
                <w:lang w:val="uk-UA"/>
              </w:rPr>
              <w:t>,</w:t>
            </w:r>
            <w:r w:rsidR="00E365FE" w:rsidRPr="00673AC7">
              <w:rPr>
                <w:sz w:val="28"/>
                <w:szCs w:val="28"/>
                <w:lang w:val="uk-UA"/>
              </w:rPr>
              <w:t xml:space="preserve"> оскільки вжиті при встановленні цих </w:t>
            </w:r>
            <w:r w:rsidR="001C25AC">
              <w:rPr>
                <w:sz w:val="28"/>
                <w:szCs w:val="28"/>
                <w:lang w:val="uk-UA"/>
              </w:rPr>
              <w:t>рівнів</w:t>
            </w:r>
            <w:r w:rsidR="00E365FE" w:rsidRPr="00673AC7">
              <w:rPr>
                <w:sz w:val="28"/>
                <w:szCs w:val="28"/>
                <w:lang w:val="uk-UA"/>
              </w:rPr>
              <w:t xml:space="preserve"> </w:t>
            </w:r>
            <w:r w:rsidR="00C9630A">
              <w:rPr>
                <w:sz w:val="28"/>
                <w:szCs w:val="28"/>
                <w:lang w:val="uk-UA"/>
              </w:rPr>
              <w:t>терміни</w:t>
            </w:r>
            <w:r w:rsidR="00E365FE" w:rsidRPr="00673AC7">
              <w:rPr>
                <w:sz w:val="28"/>
                <w:szCs w:val="28"/>
                <w:lang w:val="uk-UA"/>
              </w:rPr>
              <w:t xml:space="preserve"> </w:t>
            </w:r>
            <w:r w:rsidR="00C54C49">
              <w:rPr>
                <w:sz w:val="28"/>
                <w:szCs w:val="28"/>
                <w:lang w:val="uk-UA"/>
              </w:rPr>
              <w:t>та формулювання</w:t>
            </w:r>
            <w:r w:rsidR="006C6FE8">
              <w:rPr>
                <w:sz w:val="28"/>
                <w:szCs w:val="28"/>
                <w:lang w:val="uk-UA"/>
              </w:rPr>
              <w:t xml:space="preserve"> </w:t>
            </w:r>
            <w:r w:rsidR="00E365FE">
              <w:rPr>
                <w:sz w:val="28"/>
                <w:szCs w:val="28"/>
                <w:lang w:val="uk-UA"/>
              </w:rPr>
              <w:t xml:space="preserve">однозначно </w:t>
            </w:r>
            <w:r w:rsidR="00E365FE" w:rsidRPr="00673AC7">
              <w:rPr>
                <w:sz w:val="28"/>
                <w:szCs w:val="28"/>
                <w:lang w:val="uk-UA"/>
              </w:rPr>
              <w:t>не визначено</w:t>
            </w:r>
            <w:r w:rsidR="00E365FE">
              <w:rPr>
                <w:sz w:val="28"/>
                <w:szCs w:val="28"/>
                <w:lang w:val="uk-UA"/>
              </w:rPr>
              <w:t xml:space="preserve">, </w:t>
            </w:r>
            <w:r w:rsidR="00E365FE" w:rsidRPr="00BE18E4">
              <w:rPr>
                <w:sz w:val="28"/>
                <w:szCs w:val="28"/>
                <w:lang w:val="uk-UA"/>
              </w:rPr>
              <w:t xml:space="preserve">що не дає можливості </w:t>
            </w:r>
            <w:r w:rsidR="00E365FE">
              <w:rPr>
                <w:sz w:val="28"/>
                <w:szCs w:val="28"/>
                <w:lang w:val="uk-UA"/>
              </w:rPr>
              <w:t>відобразити</w:t>
            </w:r>
            <w:r w:rsidR="00E365FE" w:rsidRPr="00BE18E4">
              <w:rPr>
                <w:sz w:val="28"/>
                <w:szCs w:val="28"/>
                <w:lang w:val="uk-UA"/>
              </w:rPr>
              <w:t xml:space="preserve"> реальний стан якості надання послуг </w:t>
            </w:r>
            <w:r w:rsidR="0059790B">
              <w:rPr>
                <w:sz w:val="28"/>
                <w:szCs w:val="28"/>
                <w:lang w:val="uk-UA"/>
              </w:rPr>
              <w:t xml:space="preserve">рухомого (мобільного) зв’язку </w:t>
            </w:r>
            <w:r w:rsidR="00C11B42">
              <w:rPr>
                <w:sz w:val="28"/>
                <w:szCs w:val="28"/>
                <w:lang w:val="uk-UA"/>
              </w:rPr>
              <w:t>з урахуванням розвитку телекомунікаційних мереж, інших факторів їх експлуатації, в тому числі й тих, що пов’язані з викраденням чи пошкодженням зловмисниками лінійних та станційних споруд операторів телекомунікацій</w:t>
            </w:r>
            <w:r w:rsidR="005C647B">
              <w:rPr>
                <w:sz w:val="28"/>
                <w:szCs w:val="28"/>
                <w:lang w:val="uk-UA"/>
              </w:rPr>
              <w:t xml:space="preserve">. </w:t>
            </w:r>
          </w:p>
          <w:p w:rsidR="00C11B42" w:rsidRPr="00C11B42" w:rsidRDefault="00E365FE" w:rsidP="00C35709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Цілі</w:t>
            </w:r>
            <w:r w:rsidRPr="006709EC">
              <w:rPr>
                <w:sz w:val="28"/>
                <w:szCs w:val="28"/>
                <w:lang w:val="uk-UA"/>
              </w:rPr>
              <w:t xml:space="preserve"> державного регулювання</w:t>
            </w:r>
            <w:r>
              <w:rPr>
                <w:sz w:val="28"/>
                <w:szCs w:val="28"/>
                <w:lang w:val="uk-UA"/>
              </w:rPr>
              <w:t xml:space="preserve"> частково досягаються.</w:t>
            </w:r>
          </w:p>
        </w:tc>
      </w:tr>
      <w:tr w:rsidR="00330FC3" w:rsidRPr="00D3201B" w:rsidTr="00C9630A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C11B42" w:rsidRDefault="00E365FE" w:rsidP="000D553F">
            <w:pPr>
              <w:ind w:left="142"/>
              <w:rPr>
                <w:sz w:val="28"/>
                <w:szCs w:val="28"/>
                <w:lang w:val="uk-UA"/>
              </w:rPr>
            </w:pPr>
            <w:r w:rsidRPr="00C11B42">
              <w:rPr>
                <w:sz w:val="28"/>
                <w:szCs w:val="28"/>
                <w:lang w:val="uk-UA"/>
              </w:rPr>
              <w:lastRenderedPageBreak/>
              <w:t>Альтернатива</w:t>
            </w:r>
            <w:r w:rsidR="00C9630A">
              <w:rPr>
                <w:sz w:val="28"/>
                <w:szCs w:val="28"/>
                <w:lang w:val="uk-UA"/>
              </w:rPr>
              <w:t xml:space="preserve"> №</w:t>
            </w:r>
            <w:r w:rsidR="002916AC">
              <w:rPr>
                <w:sz w:val="28"/>
                <w:szCs w:val="28"/>
                <w:lang w:val="uk-UA"/>
              </w:rPr>
              <w:t> </w:t>
            </w:r>
            <w:r w:rsidRPr="00C11B4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C11B42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C11B4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0B" w:rsidRDefault="00E365FE" w:rsidP="00A8588A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Діяльні</w:t>
            </w:r>
            <w:r w:rsidRPr="006709EC">
              <w:rPr>
                <w:sz w:val="28"/>
                <w:szCs w:val="28"/>
                <w:lang w:val="uk-UA"/>
              </w:rPr>
              <w:t>ст</w:t>
            </w:r>
            <w:r>
              <w:rPr>
                <w:sz w:val="28"/>
                <w:szCs w:val="28"/>
                <w:lang w:val="uk-UA"/>
              </w:rPr>
              <w:t>ь</w:t>
            </w:r>
            <w:r w:rsidR="00A8588A">
              <w:rPr>
                <w:sz w:val="28"/>
                <w:szCs w:val="28"/>
                <w:lang w:val="uk-UA"/>
              </w:rPr>
              <w:t xml:space="preserve"> у</w:t>
            </w:r>
            <w:r w:rsidRPr="006709EC">
              <w:rPr>
                <w:sz w:val="28"/>
                <w:szCs w:val="28"/>
                <w:lang w:val="uk-UA"/>
              </w:rPr>
              <w:t xml:space="preserve"> прозорому нормативно-правовому полі </w:t>
            </w:r>
            <w:r>
              <w:rPr>
                <w:sz w:val="28"/>
                <w:szCs w:val="28"/>
                <w:lang w:val="uk-UA"/>
              </w:rPr>
              <w:t>при наданні</w:t>
            </w:r>
            <w:r w:rsidRPr="006709EC">
              <w:rPr>
                <w:sz w:val="28"/>
                <w:szCs w:val="28"/>
                <w:lang w:val="uk-UA"/>
              </w:rPr>
              <w:t xml:space="preserve"> послуг </w:t>
            </w:r>
            <w:r w:rsidR="0059790B">
              <w:rPr>
                <w:sz w:val="28"/>
                <w:szCs w:val="28"/>
                <w:lang w:val="uk-UA"/>
              </w:rPr>
              <w:t xml:space="preserve">рухомого (мобільного) зв’язку </w:t>
            </w:r>
            <w:r>
              <w:rPr>
                <w:sz w:val="28"/>
                <w:szCs w:val="28"/>
                <w:lang w:val="uk-UA"/>
              </w:rPr>
              <w:t>стосовно дотримання</w:t>
            </w:r>
            <w:r w:rsidRPr="006709EC">
              <w:rPr>
                <w:sz w:val="28"/>
                <w:szCs w:val="28"/>
                <w:lang w:val="uk-UA"/>
              </w:rPr>
              <w:t xml:space="preserve"> вимог до </w:t>
            </w:r>
            <w:r w:rsidR="00150DC5">
              <w:rPr>
                <w:sz w:val="28"/>
                <w:szCs w:val="28"/>
                <w:lang w:val="uk-UA"/>
              </w:rPr>
              <w:t xml:space="preserve">рівнів </w:t>
            </w:r>
            <w:r>
              <w:rPr>
                <w:sz w:val="28"/>
                <w:szCs w:val="28"/>
                <w:lang w:val="uk-UA"/>
              </w:rPr>
              <w:t>якості.</w:t>
            </w:r>
            <w:r w:rsidR="003B19E5">
              <w:rPr>
                <w:sz w:val="28"/>
                <w:szCs w:val="28"/>
                <w:lang w:val="uk-UA"/>
              </w:rPr>
              <w:t xml:space="preserve"> </w:t>
            </w:r>
            <w:r w:rsidR="0059790B">
              <w:rPr>
                <w:sz w:val="28"/>
                <w:szCs w:val="28"/>
                <w:lang w:val="uk-UA"/>
              </w:rPr>
              <w:t>Отримання об’єктивної інформації про рівень якості послуг рухомого (мобільного) зв’язку</w:t>
            </w:r>
            <w:r w:rsidR="00C9630A">
              <w:rPr>
                <w:sz w:val="28"/>
                <w:szCs w:val="28"/>
                <w:lang w:val="uk-UA"/>
              </w:rPr>
              <w:t>.</w:t>
            </w:r>
            <w:r w:rsidR="0059790B" w:rsidRPr="006709EC">
              <w:rPr>
                <w:sz w:val="28"/>
                <w:szCs w:val="28"/>
                <w:lang w:val="uk-UA"/>
              </w:rPr>
              <w:t xml:space="preserve"> </w:t>
            </w:r>
            <w:r w:rsidRPr="006709EC">
              <w:rPr>
                <w:sz w:val="28"/>
                <w:szCs w:val="28"/>
                <w:lang w:val="uk-UA"/>
              </w:rPr>
              <w:t xml:space="preserve">Можливість </w:t>
            </w:r>
            <w:r w:rsidR="003B19E5">
              <w:rPr>
                <w:sz w:val="28"/>
                <w:szCs w:val="28"/>
                <w:lang w:val="uk-UA"/>
              </w:rPr>
              <w:t xml:space="preserve">об’єктивно </w:t>
            </w:r>
            <w:r>
              <w:rPr>
                <w:sz w:val="28"/>
                <w:szCs w:val="28"/>
                <w:lang w:val="uk-UA"/>
              </w:rPr>
              <w:t xml:space="preserve">відобразити </w:t>
            </w:r>
            <w:r w:rsidR="003B19E5">
              <w:rPr>
                <w:sz w:val="28"/>
                <w:szCs w:val="28"/>
                <w:lang w:val="uk-UA"/>
              </w:rPr>
              <w:t>якість</w:t>
            </w:r>
            <w:r>
              <w:rPr>
                <w:sz w:val="28"/>
                <w:szCs w:val="28"/>
                <w:lang w:val="uk-UA"/>
              </w:rPr>
              <w:t xml:space="preserve"> наданих</w:t>
            </w:r>
            <w:r w:rsidRPr="00BE18E4">
              <w:rPr>
                <w:sz w:val="28"/>
                <w:szCs w:val="28"/>
                <w:lang w:val="uk-UA"/>
              </w:rPr>
              <w:t xml:space="preserve"> послуг </w:t>
            </w:r>
            <w:r w:rsidR="0059790B">
              <w:rPr>
                <w:sz w:val="28"/>
                <w:szCs w:val="28"/>
                <w:lang w:val="uk-UA"/>
              </w:rPr>
              <w:t>рухомого (мобільного) зв’язку.</w:t>
            </w:r>
            <w:r w:rsidR="002916AC">
              <w:rPr>
                <w:sz w:val="28"/>
                <w:szCs w:val="28"/>
                <w:lang w:val="uk-UA"/>
              </w:rPr>
              <w:t xml:space="preserve"> </w:t>
            </w:r>
          </w:p>
          <w:p w:rsidR="00E365FE" w:rsidRPr="003B19E5" w:rsidRDefault="00E365FE" w:rsidP="00A8588A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6709EC">
              <w:rPr>
                <w:sz w:val="28"/>
                <w:szCs w:val="28"/>
                <w:lang w:val="uk-UA"/>
              </w:rPr>
              <w:t xml:space="preserve">Цілі державного регулювання </w:t>
            </w:r>
            <w:r>
              <w:rPr>
                <w:sz w:val="28"/>
                <w:szCs w:val="28"/>
                <w:lang w:val="uk-UA"/>
              </w:rPr>
              <w:t>можуть бути досягнуті повною мірою.</w:t>
            </w:r>
          </w:p>
        </w:tc>
      </w:tr>
    </w:tbl>
    <w:p w:rsidR="00564ABC" w:rsidRDefault="00564ABC" w:rsidP="006709EC">
      <w:pPr>
        <w:rPr>
          <w:sz w:val="27"/>
          <w:szCs w:val="27"/>
          <w:lang w:val="uk-UA"/>
        </w:rPr>
      </w:pPr>
    </w:p>
    <w:tbl>
      <w:tblPr>
        <w:tblW w:w="50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3"/>
        <w:gridCol w:w="2838"/>
        <w:gridCol w:w="2550"/>
        <w:gridCol w:w="2041"/>
      </w:tblGrid>
      <w:tr w:rsidR="008B2EF0" w:rsidRPr="0027122E" w:rsidTr="00C9630A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59790B" w:rsidRDefault="00E365FE" w:rsidP="008B5AC3">
            <w:pPr>
              <w:jc w:val="center"/>
              <w:rPr>
                <w:sz w:val="28"/>
                <w:szCs w:val="28"/>
                <w:lang w:val="uk-UA"/>
              </w:rPr>
            </w:pPr>
            <w:r w:rsidRPr="0059790B">
              <w:rPr>
                <w:sz w:val="28"/>
                <w:szCs w:val="28"/>
                <w:lang w:val="uk-UA"/>
              </w:rPr>
              <w:t>Рейтинг результативності</w:t>
            </w:r>
            <w:r w:rsidR="00723FDE" w:rsidRPr="00330FC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59790B" w:rsidRDefault="00E365FE" w:rsidP="000D553F">
            <w:pPr>
              <w:ind w:left="136" w:right="105"/>
              <w:jc w:val="center"/>
              <w:rPr>
                <w:sz w:val="28"/>
                <w:szCs w:val="28"/>
                <w:lang w:val="uk-UA"/>
              </w:rPr>
            </w:pPr>
            <w:r w:rsidRPr="0059790B">
              <w:rPr>
                <w:sz w:val="28"/>
                <w:szCs w:val="28"/>
                <w:lang w:val="uk-UA"/>
              </w:rPr>
              <w:t>Вигоди (підсумок)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59790B" w:rsidRDefault="00E365FE" w:rsidP="000D553F">
            <w:pPr>
              <w:jc w:val="center"/>
              <w:rPr>
                <w:sz w:val="28"/>
                <w:szCs w:val="28"/>
                <w:lang w:val="uk-UA"/>
              </w:rPr>
            </w:pPr>
            <w:r w:rsidRPr="0059790B">
              <w:rPr>
                <w:sz w:val="28"/>
                <w:szCs w:val="28"/>
                <w:lang w:val="uk-UA"/>
              </w:rPr>
              <w:t>Витрати (підсумок)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00" w:rsidRPr="00924100" w:rsidRDefault="00E365FE" w:rsidP="00EC13F6">
            <w:pPr>
              <w:ind w:left="78" w:right="83"/>
              <w:jc w:val="center"/>
              <w:rPr>
                <w:sz w:val="28"/>
                <w:szCs w:val="28"/>
                <w:lang w:val="uk-UA"/>
              </w:rPr>
            </w:pPr>
            <w:r w:rsidRPr="0059790B">
              <w:rPr>
                <w:sz w:val="28"/>
                <w:szCs w:val="28"/>
                <w:lang w:val="uk-UA"/>
              </w:rPr>
              <w:t>Обґрунтування від</w:t>
            </w:r>
            <w:r w:rsidRPr="00330FC3">
              <w:rPr>
                <w:sz w:val="28"/>
                <w:szCs w:val="28"/>
              </w:rPr>
              <w:t>повідного місця альтернативи у рейтингу</w:t>
            </w:r>
          </w:p>
        </w:tc>
      </w:tr>
      <w:tr w:rsidR="008B2EF0" w:rsidRPr="0027122E" w:rsidTr="00EC13F6">
        <w:trPr>
          <w:trHeight w:val="2238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8B1182" w:rsidRDefault="00E365FE" w:rsidP="000D553F">
            <w:pPr>
              <w:jc w:val="both"/>
              <w:rPr>
                <w:sz w:val="28"/>
                <w:szCs w:val="28"/>
              </w:rPr>
            </w:pPr>
            <w:r w:rsidRPr="008B1182">
              <w:rPr>
                <w:sz w:val="28"/>
                <w:szCs w:val="28"/>
              </w:rPr>
              <w:t>Альтернатива</w:t>
            </w:r>
            <w:r w:rsidR="00C9630A">
              <w:rPr>
                <w:sz w:val="28"/>
                <w:szCs w:val="28"/>
                <w:lang w:val="uk-UA"/>
              </w:rPr>
              <w:t xml:space="preserve"> №</w:t>
            </w:r>
            <w:r w:rsidR="002916AC">
              <w:rPr>
                <w:sz w:val="28"/>
                <w:szCs w:val="28"/>
              </w:rPr>
              <w:t> </w:t>
            </w:r>
            <w:r w:rsidRPr="008B1182">
              <w:rPr>
                <w:sz w:val="28"/>
                <w:szCs w:val="28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8B1182" w:rsidRDefault="00E365FE" w:rsidP="00A8588A">
            <w:pPr>
              <w:jc w:val="center"/>
              <w:rPr>
                <w:sz w:val="28"/>
                <w:szCs w:val="28"/>
                <w:lang w:val="uk-UA"/>
              </w:rPr>
            </w:pPr>
            <w:r w:rsidRPr="008B1182">
              <w:rPr>
                <w:sz w:val="28"/>
                <w:szCs w:val="28"/>
              </w:rPr>
              <w:t>Вигод не передбачається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FF" w:rsidRPr="003E3C96" w:rsidRDefault="003E3C96" w:rsidP="00EC13F6">
            <w:pPr>
              <w:ind w:left="149" w:right="3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</w:t>
            </w:r>
            <w:r w:rsidR="00692FEA" w:rsidRPr="003D3CDA">
              <w:rPr>
                <w:sz w:val="28"/>
                <w:szCs w:val="28"/>
                <w:lang w:val="uk-UA"/>
              </w:rPr>
              <w:t xml:space="preserve">врегульованість питання відповідальності операторів, провайдерів телекомунікацій за недотримання </w:t>
            </w:r>
            <w:r w:rsidR="00692FEA" w:rsidRPr="003D3CDA">
              <w:rPr>
                <w:sz w:val="28"/>
                <w:szCs w:val="28"/>
                <w:lang w:val="uk-UA"/>
              </w:rPr>
              <w:lastRenderedPageBreak/>
              <w:t xml:space="preserve">Вимог, у тому числі за неможливість забезпечення надання послуг </w:t>
            </w:r>
            <w:r w:rsidR="0059790B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59790B" w:rsidRPr="003D3CDA">
              <w:rPr>
                <w:sz w:val="28"/>
                <w:szCs w:val="28"/>
                <w:lang w:val="uk-UA"/>
              </w:rPr>
              <w:t xml:space="preserve"> </w:t>
            </w:r>
            <w:r w:rsidR="00692FEA" w:rsidRPr="003D3CDA">
              <w:rPr>
                <w:sz w:val="28"/>
                <w:szCs w:val="28"/>
                <w:lang w:val="uk-UA"/>
              </w:rPr>
              <w:t>встановленого рівня якості, призводить до вимушених фінансових витрат суб’єктів господарювання.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Default="00E365FE" w:rsidP="002916AC">
            <w:pPr>
              <w:jc w:val="center"/>
              <w:rPr>
                <w:sz w:val="28"/>
                <w:szCs w:val="28"/>
                <w:lang w:val="uk-UA"/>
              </w:rPr>
            </w:pPr>
            <w:r w:rsidRPr="008B1182">
              <w:rPr>
                <w:sz w:val="28"/>
                <w:szCs w:val="28"/>
              </w:rPr>
              <w:lastRenderedPageBreak/>
              <w:t>2</w:t>
            </w:r>
          </w:p>
          <w:p w:rsidR="00E365FE" w:rsidRPr="008B1182" w:rsidRDefault="00E365FE" w:rsidP="006C31B4">
            <w:pPr>
              <w:rPr>
                <w:sz w:val="28"/>
                <w:szCs w:val="28"/>
                <w:lang w:val="uk-UA"/>
              </w:rPr>
            </w:pPr>
            <w:r w:rsidRPr="008B1182">
              <w:rPr>
                <w:sz w:val="28"/>
                <w:szCs w:val="28"/>
                <w:lang w:val="uk-UA"/>
              </w:rPr>
              <w:t xml:space="preserve">Цілі державного регулювання </w:t>
            </w:r>
            <w:r>
              <w:rPr>
                <w:sz w:val="28"/>
                <w:szCs w:val="28"/>
                <w:lang w:val="uk-UA"/>
              </w:rPr>
              <w:t xml:space="preserve">частково </w:t>
            </w:r>
            <w:r w:rsidRPr="008B1182">
              <w:rPr>
                <w:sz w:val="28"/>
                <w:szCs w:val="28"/>
                <w:lang w:val="uk-UA"/>
              </w:rPr>
              <w:t xml:space="preserve">досягаються </w:t>
            </w:r>
          </w:p>
        </w:tc>
      </w:tr>
      <w:tr w:rsidR="008B2EF0" w:rsidRPr="00E92CF8" w:rsidTr="00EC13F6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8B1182" w:rsidRDefault="00E365FE" w:rsidP="000D553F">
            <w:pPr>
              <w:jc w:val="both"/>
              <w:rPr>
                <w:sz w:val="28"/>
                <w:szCs w:val="28"/>
              </w:rPr>
            </w:pPr>
            <w:r w:rsidRPr="008B1182">
              <w:rPr>
                <w:sz w:val="28"/>
                <w:szCs w:val="28"/>
              </w:rPr>
              <w:lastRenderedPageBreak/>
              <w:t>Альтернатива</w:t>
            </w:r>
            <w:r w:rsidR="00C9630A">
              <w:rPr>
                <w:sz w:val="28"/>
                <w:szCs w:val="28"/>
                <w:lang w:val="uk-UA"/>
              </w:rPr>
              <w:t xml:space="preserve"> №</w:t>
            </w:r>
            <w:r w:rsidRPr="008B118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25" w:rsidRPr="00E92CF8" w:rsidRDefault="00E365FE" w:rsidP="00EC13F6">
            <w:pPr>
              <w:ind w:firstLine="405"/>
              <w:jc w:val="both"/>
              <w:rPr>
                <w:sz w:val="28"/>
                <w:szCs w:val="28"/>
                <w:lang w:val="uk-UA"/>
              </w:rPr>
            </w:pPr>
            <w:r w:rsidRPr="008B1182">
              <w:rPr>
                <w:sz w:val="28"/>
                <w:szCs w:val="28"/>
                <w:lang w:val="uk-UA"/>
              </w:rPr>
              <w:t>Приведення у відповідність із чинним за</w:t>
            </w:r>
            <w:r w:rsidR="006C31B4">
              <w:rPr>
                <w:sz w:val="28"/>
                <w:szCs w:val="28"/>
                <w:lang w:val="uk-UA"/>
              </w:rPr>
              <w:t>конодавством нормативно-правового</w:t>
            </w:r>
            <w:r w:rsidRPr="008B1182">
              <w:rPr>
                <w:sz w:val="28"/>
                <w:szCs w:val="28"/>
                <w:lang w:val="uk-UA"/>
              </w:rPr>
              <w:t xml:space="preserve"> акт</w:t>
            </w:r>
            <w:r w:rsidR="00A8588A">
              <w:rPr>
                <w:sz w:val="28"/>
                <w:szCs w:val="28"/>
                <w:lang w:val="uk-UA"/>
              </w:rPr>
              <w:t>а</w:t>
            </w:r>
            <w:r w:rsidR="00654DC0">
              <w:rPr>
                <w:sz w:val="28"/>
                <w:szCs w:val="28"/>
                <w:lang w:val="uk-UA"/>
              </w:rPr>
              <w:t xml:space="preserve"> з визначення В</w:t>
            </w:r>
            <w:r w:rsidRPr="008B1182">
              <w:rPr>
                <w:sz w:val="28"/>
                <w:szCs w:val="28"/>
                <w:lang w:val="uk-UA"/>
              </w:rPr>
              <w:t xml:space="preserve">имог щодо рівня якості послуг </w:t>
            </w:r>
            <w:r w:rsidR="00961457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Pr="008B1182">
              <w:rPr>
                <w:sz w:val="28"/>
                <w:szCs w:val="28"/>
                <w:lang w:val="uk-UA"/>
              </w:rPr>
              <w:t>;</w:t>
            </w:r>
            <w:r>
              <w:rPr>
                <w:sz w:val="28"/>
                <w:szCs w:val="28"/>
                <w:lang w:val="uk-UA"/>
              </w:rPr>
              <w:t xml:space="preserve"> уточнення умов дотримання </w:t>
            </w:r>
            <w:r w:rsidR="00654DC0">
              <w:rPr>
                <w:sz w:val="28"/>
                <w:szCs w:val="28"/>
                <w:lang w:val="uk-UA"/>
              </w:rPr>
              <w:t>показників</w:t>
            </w:r>
            <w:r>
              <w:rPr>
                <w:sz w:val="28"/>
                <w:szCs w:val="28"/>
                <w:lang w:val="uk-UA"/>
              </w:rPr>
              <w:t xml:space="preserve"> якості наданих</w:t>
            </w:r>
            <w:r w:rsidRPr="00BE18E4">
              <w:rPr>
                <w:sz w:val="28"/>
                <w:szCs w:val="28"/>
                <w:lang w:val="uk-UA"/>
              </w:rPr>
              <w:t xml:space="preserve"> послуг</w:t>
            </w:r>
            <w:r w:rsidR="00C01D36">
              <w:rPr>
                <w:sz w:val="28"/>
                <w:szCs w:val="28"/>
                <w:lang w:val="uk-UA"/>
              </w:rPr>
              <w:t>; об’єктивна оцінка</w:t>
            </w:r>
            <w:r w:rsidR="00F4502D">
              <w:rPr>
                <w:sz w:val="28"/>
                <w:szCs w:val="28"/>
                <w:lang w:val="uk-UA"/>
              </w:rPr>
              <w:t xml:space="preserve"> </w:t>
            </w:r>
            <w:r w:rsidR="00C01D36">
              <w:rPr>
                <w:sz w:val="28"/>
                <w:szCs w:val="28"/>
                <w:lang w:val="uk-UA"/>
              </w:rPr>
              <w:t xml:space="preserve">дотримання визначених </w:t>
            </w:r>
            <w:r w:rsidR="00C01D36" w:rsidRPr="00811490">
              <w:rPr>
                <w:sz w:val="28"/>
                <w:szCs w:val="28"/>
                <w:lang w:val="uk-UA"/>
              </w:rPr>
              <w:t xml:space="preserve">рівнів </w:t>
            </w:r>
            <w:r w:rsidR="00C01D36">
              <w:rPr>
                <w:sz w:val="28"/>
                <w:szCs w:val="28"/>
                <w:lang w:val="uk-UA"/>
              </w:rPr>
              <w:t xml:space="preserve">показників </w:t>
            </w:r>
            <w:r w:rsidR="00654DC0">
              <w:rPr>
                <w:sz w:val="28"/>
                <w:szCs w:val="28"/>
                <w:lang w:val="uk-UA"/>
              </w:rPr>
              <w:t>якості послуг </w:t>
            </w:r>
            <w:r w:rsidR="00332E3E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C01D36">
              <w:rPr>
                <w:sz w:val="28"/>
                <w:szCs w:val="28"/>
                <w:lang w:val="uk-UA"/>
              </w:rPr>
              <w:t>;</w:t>
            </w:r>
            <w:r w:rsidR="008B2EF0">
              <w:rPr>
                <w:sz w:val="28"/>
                <w:szCs w:val="28"/>
                <w:lang w:val="uk-UA"/>
              </w:rPr>
              <w:t xml:space="preserve"> </w:t>
            </w:r>
            <w:r w:rsidR="00C01D36">
              <w:rPr>
                <w:sz w:val="28"/>
                <w:szCs w:val="28"/>
                <w:lang w:val="uk-UA"/>
              </w:rPr>
              <w:t>п</w:t>
            </w:r>
            <w:r w:rsidRPr="008B1182">
              <w:rPr>
                <w:sz w:val="28"/>
                <w:szCs w:val="28"/>
                <w:lang w:val="uk-UA"/>
              </w:rPr>
              <w:t>ідвищення контролю за якістю надання послуг</w:t>
            </w:r>
            <w:r w:rsidR="002A479D">
              <w:rPr>
                <w:sz w:val="28"/>
                <w:szCs w:val="28"/>
                <w:lang w:val="uk-UA"/>
              </w:rPr>
              <w:t>;</w:t>
            </w:r>
            <w:r w:rsidRPr="008B1182">
              <w:rPr>
                <w:sz w:val="28"/>
                <w:szCs w:val="28"/>
                <w:lang w:val="uk-UA"/>
              </w:rPr>
              <w:t xml:space="preserve"> </w:t>
            </w:r>
            <w:r w:rsidR="008145BB">
              <w:rPr>
                <w:sz w:val="28"/>
                <w:szCs w:val="28"/>
                <w:lang w:val="uk-UA"/>
              </w:rPr>
              <w:t>о</w:t>
            </w:r>
            <w:r w:rsidR="00332E3E">
              <w:rPr>
                <w:sz w:val="28"/>
                <w:szCs w:val="28"/>
                <w:lang w:val="uk-UA"/>
              </w:rPr>
              <w:t>тримання об’єктивної інформації про рівень якості послуг рухомого (мобільного) зв’язку</w:t>
            </w:r>
            <w:r w:rsidR="00131084">
              <w:rPr>
                <w:sz w:val="28"/>
                <w:szCs w:val="28"/>
                <w:lang w:val="uk-UA"/>
              </w:rPr>
              <w:t>.</w:t>
            </w:r>
            <w:r w:rsidR="00332E3E" w:rsidRPr="006709EC">
              <w:rPr>
                <w:sz w:val="28"/>
                <w:szCs w:val="28"/>
                <w:lang w:val="uk-UA"/>
              </w:rPr>
              <w:t xml:space="preserve"> </w:t>
            </w:r>
            <w:r w:rsidR="00C01D36">
              <w:rPr>
                <w:sz w:val="28"/>
                <w:szCs w:val="28"/>
                <w:lang w:val="uk-UA"/>
              </w:rPr>
              <w:t>Можливіст</w:t>
            </w:r>
            <w:r w:rsidR="00847E19">
              <w:rPr>
                <w:sz w:val="28"/>
                <w:szCs w:val="28"/>
                <w:lang w:val="uk-UA"/>
              </w:rPr>
              <w:t>ь здійснення</w:t>
            </w:r>
            <w:r w:rsidR="00723FDE">
              <w:rPr>
                <w:sz w:val="28"/>
                <w:szCs w:val="28"/>
                <w:lang w:val="uk-UA"/>
              </w:rPr>
              <w:t xml:space="preserve"> об’єктивного</w:t>
            </w:r>
            <w:r w:rsidR="00847E19">
              <w:rPr>
                <w:sz w:val="28"/>
                <w:szCs w:val="28"/>
                <w:lang w:val="uk-UA"/>
              </w:rPr>
              <w:t xml:space="preserve"> вибору споживачем </w:t>
            </w:r>
            <w:r w:rsidR="00C01D36">
              <w:rPr>
                <w:sz w:val="28"/>
                <w:szCs w:val="28"/>
                <w:lang w:val="uk-UA"/>
              </w:rPr>
              <w:t xml:space="preserve">постачальника </w:t>
            </w:r>
            <w:r w:rsidR="002A479D">
              <w:rPr>
                <w:sz w:val="28"/>
                <w:szCs w:val="28"/>
                <w:lang w:val="uk-UA"/>
              </w:rPr>
              <w:lastRenderedPageBreak/>
              <w:t xml:space="preserve">(оператора, провайдера телекомунікацій) </w:t>
            </w:r>
            <w:r w:rsidR="00C01D36">
              <w:rPr>
                <w:sz w:val="28"/>
                <w:szCs w:val="28"/>
                <w:lang w:val="uk-UA"/>
              </w:rPr>
              <w:t xml:space="preserve">послуг </w:t>
            </w:r>
            <w:r w:rsidR="00131084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332E3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E92CF8" w:rsidRDefault="00A8588A" w:rsidP="00DA66C9">
            <w:pPr>
              <w:ind w:left="149" w:right="3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Немає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Default="00E365FE" w:rsidP="002916A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  <w:p w:rsidR="00E365FE" w:rsidRPr="008B1182" w:rsidRDefault="00E365FE" w:rsidP="000D553F">
            <w:pPr>
              <w:rPr>
                <w:sz w:val="28"/>
                <w:szCs w:val="28"/>
                <w:lang w:val="uk-UA"/>
              </w:rPr>
            </w:pPr>
            <w:r w:rsidRPr="006709EC">
              <w:rPr>
                <w:sz w:val="28"/>
                <w:szCs w:val="28"/>
                <w:lang w:val="uk-UA"/>
              </w:rPr>
              <w:t xml:space="preserve">Цілі державного регулювання </w:t>
            </w:r>
            <w:r>
              <w:rPr>
                <w:sz w:val="28"/>
                <w:szCs w:val="28"/>
                <w:lang w:val="uk-UA"/>
              </w:rPr>
              <w:t>можуть бути досягнуті повною мірою</w:t>
            </w:r>
            <w:r w:rsidRPr="008B118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9591B" w:rsidRDefault="0059591B"/>
    <w:tbl>
      <w:tblPr>
        <w:tblW w:w="5022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82"/>
        <w:gridCol w:w="5105"/>
        <w:gridCol w:w="2325"/>
      </w:tblGrid>
      <w:tr w:rsidR="008B2EF0" w:rsidRPr="0027122E" w:rsidTr="00EC13F6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2873EF" w:rsidRDefault="00372CDB" w:rsidP="008B5AC3">
            <w:pPr>
              <w:jc w:val="center"/>
              <w:rPr>
                <w:sz w:val="28"/>
                <w:szCs w:val="28"/>
                <w:lang w:val="uk-UA"/>
              </w:rPr>
            </w:pPr>
            <w:r>
              <w:br w:type="page"/>
            </w:r>
            <w:r w:rsidR="008B2EF0">
              <w:br w:type="page"/>
            </w:r>
            <w:r w:rsidR="00D93E2E" w:rsidRPr="002873EF">
              <w:rPr>
                <w:sz w:val="28"/>
                <w:szCs w:val="28"/>
              </w:rPr>
              <w:br w:type="page"/>
            </w:r>
            <w:r w:rsidR="00475269" w:rsidRPr="002873EF">
              <w:rPr>
                <w:sz w:val="28"/>
                <w:szCs w:val="28"/>
              </w:rPr>
              <w:t xml:space="preserve">Рейтинг результативності 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2873EF" w:rsidRDefault="00E365FE" w:rsidP="000D553F">
            <w:pPr>
              <w:ind w:left="34" w:right="140"/>
              <w:jc w:val="center"/>
              <w:rPr>
                <w:sz w:val="28"/>
                <w:szCs w:val="28"/>
              </w:rPr>
            </w:pPr>
            <w:r w:rsidRPr="002873EF">
              <w:rPr>
                <w:sz w:val="28"/>
                <w:szCs w:val="28"/>
                <w:lang w:val="uk-UA"/>
              </w:rPr>
              <w:t>Аргументи щодо переваги обраної альтернати</w:t>
            </w:r>
            <w:r w:rsidRPr="002873EF">
              <w:rPr>
                <w:sz w:val="28"/>
                <w:szCs w:val="28"/>
              </w:rPr>
              <w:t>ви/причини відмови від альтернативи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5FE" w:rsidRPr="002873EF" w:rsidRDefault="00E365FE" w:rsidP="000D553F">
            <w:pPr>
              <w:ind w:left="114" w:right="83"/>
              <w:jc w:val="center"/>
              <w:rPr>
                <w:sz w:val="28"/>
                <w:szCs w:val="28"/>
              </w:rPr>
            </w:pPr>
            <w:r w:rsidRPr="002873EF">
              <w:rPr>
                <w:sz w:val="28"/>
                <w:szCs w:val="28"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8B2EF0" w:rsidRPr="0027122E" w:rsidTr="00B330A6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8B2EF0" w:rsidRDefault="00E365FE" w:rsidP="000D553F">
            <w:pPr>
              <w:rPr>
                <w:sz w:val="28"/>
                <w:szCs w:val="28"/>
              </w:rPr>
            </w:pPr>
            <w:r w:rsidRPr="008B2EF0">
              <w:rPr>
                <w:sz w:val="28"/>
                <w:szCs w:val="28"/>
              </w:rPr>
              <w:t xml:space="preserve">Альтернатива </w:t>
            </w:r>
            <w:r w:rsidR="002916AC">
              <w:rPr>
                <w:sz w:val="28"/>
                <w:szCs w:val="28"/>
                <w:lang w:val="uk-UA"/>
              </w:rPr>
              <w:t>№ </w:t>
            </w:r>
            <w:r w:rsidRPr="008B2EF0">
              <w:rPr>
                <w:sz w:val="28"/>
                <w:szCs w:val="28"/>
              </w:rPr>
              <w:t>1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27122E" w:rsidRDefault="002A479D" w:rsidP="002A479D">
            <w:pPr>
              <w:ind w:firstLine="405"/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  <w:lang w:val="uk-UA"/>
              </w:rPr>
              <w:t xml:space="preserve">Не враховані положення заходів пункту 1 Плану. </w:t>
            </w:r>
            <w:r w:rsidR="006C31B4">
              <w:rPr>
                <w:sz w:val="28"/>
                <w:szCs w:val="28"/>
                <w:lang w:val="uk-UA"/>
              </w:rPr>
              <w:t>Об’єктивна о</w:t>
            </w:r>
            <w:r w:rsidR="00E365FE" w:rsidRPr="007D117D">
              <w:rPr>
                <w:sz w:val="28"/>
                <w:szCs w:val="28"/>
                <w:lang w:val="uk-UA"/>
              </w:rPr>
              <w:t xml:space="preserve">цінка дотримання </w:t>
            </w:r>
            <w:r w:rsidR="00E365FE">
              <w:rPr>
                <w:sz w:val="28"/>
                <w:szCs w:val="28"/>
                <w:lang w:val="uk-UA"/>
              </w:rPr>
              <w:t>оператором, провайдером</w:t>
            </w:r>
            <w:r w:rsidR="002873EF">
              <w:rPr>
                <w:sz w:val="28"/>
                <w:szCs w:val="28"/>
                <w:lang w:val="uk-UA"/>
              </w:rPr>
              <w:t xml:space="preserve"> телекомунікацій</w:t>
            </w:r>
            <w:r w:rsidR="00E365FE">
              <w:rPr>
                <w:sz w:val="28"/>
                <w:szCs w:val="28"/>
                <w:lang w:val="uk-UA"/>
              </w:rPr>
              <w:t xml:space="preserve"> </w:t>
            </w:r>
            <w:r w:rsidR="00E365FE" w:rsidRPr="007D117D">
              <w:rPr>
                <w:sz w:val="28"/>
                <w:szCs w:val="28"/>
                <w:lang w:val="uk-UA"/>
              </w:rPr>
              <w:t xml:space="preserve">встановлених </w:t>
            </w:r>
            <w:r w:rsidR="00E365FE">
              <w:rPr>
                <w:sz w:val="28"/>
                <w:szCs w:val="28"/>
                <w:lang w:val="uk-UA"/>
              </w:rPr>
              <w:t>строків</w:t>
            </w:r>
            <w:r w:rsidR="00E365FE" w:rsidRPr="007D117D">
              <w:rPr>
                <w:sz w:val="28"/>
                <w:szCs w:val="28"/>
                <w:lang w:val="uk-UA"/>
              </w:rPr>
              <w:t xml:space="preserve"> усунення пошкоджень телекомунікаційної мережі та відновлення доступу до послуг унеможливлюється через те, що неоднозначно визначено умови застосування (вимірювання) показників якості, оскільки вжиті при встан</w:t>
            </w:r>
            <w:r w:rsidR="001C25AC">
              <w:rPr>
                <w:sz w:val="28"/>
                <w:szCs w:val="28"/>
                <w:lang w:val="uk-UA"/>
              </w:rPr>
              <w:t>овленні цих показників терміни «</w:t>
            </w:r>
            <w:r w:rsidR="00E365FE" w:rsidRPr="007D117D">
              <w:rPr>
                <w:sz w:val="28"/>
                <w:szCs w:val="28"/>
                <w:lang w:val="uk-UA"/>
              </w:rPr>
              <w:t>нормальні</w:t>
            </w:r>
            <w:r w:rsidR="001C25AC">
              <w:rPr>
                <w:sz w:val="28"/>
                <w:szCs w:val="28"/>
                <w:lang w:val="uk-UA"/>
              </w:rPr>
              <w:t xml:space="preserve"> умови» та «надзвичайні умови»</w:t>
            </w:r>
            <w:r w:rsidR="00E365FE" w:rsidRPr="007D117D">
              <w:rPr>
                <w:sz w:val="28"/>
                <w:szCs w:val="28"/>
                <w:lang w:val="uk-UA"/>
              </w:rPr>
              <w:t xml:space="preserve"> законодавством не визначено.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5E7492" w:rsidRDefault="000E1420" w:rsidP="00DA66C9">
            <w:pPr>
              <w:ind w:left="114" w:right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8B2EF0" w:rsidRPr="0027122E" w:rsidTr="00B330A6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8B2EF0" w:rsidRDefault="00E365FE" w:rsidP="00D87425">
            <w:pPr>
              <w:jc w:val="both"/>
              <w:rPr>
                <w:sz w:val="28"/>
                <w:szCs w:val="28"/>
              </w:rPr>
            </w:pPr>
            <w:r w:rsidRPr="008B2EF0">
              <w:rPr>
                <w:sz w:val="28"/>
                <w:szCs w:val="28"/>
              </w:rPr>
              <w:t xml:space="preserve">Альтернатива </w:t>
            </w:r>
            <w:r w:rsidR="002916AC">
              <w:rPr>
                <w:sz w:val="28"/>
                <w:szCs w:val="28"/>
                <w:lang w:val="uk-UA"/>
              </w:rPr>
              <w:t>№ </w:t>
            </w:r>
            <w:r w:rsidRPr="008B2EF0">
              <w:rPr>
                <w:sz w:val="28"/>
                <w:szCs w:val="28"/>
              </w:rPr>
              <w:t>2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7C688B" w:rsidRDefault="002A479D" w:rsidP="003A6211">
            <w:pPr>
              <w:ind w:firstLine="405"/>
              <w:jc w:val="both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</w:t>
            </w:r>
            <w:r w:rsidR="00976547">
              <w:rPr>
                <w:sz w:val="28"/>
                <w:szCs w:val="28"/>
                <w:lang w:val="uk-UA"/>
              </w:rPr>
              <w:t>проєкт</w:t>
            </w:r>
            <w:r w:rsidR="002F2E59">
              <w:rPr>
                <w:sz w:val="28"/>
                <w:szCs w:val="28"/>
                <w:lang w:val="uk-UA"/>
              </w:rPr>
              <w:t>і Н</w:t>
            </w:r>
            <w:r>
              <w:rPr>
                <w:sz w:val="28"/>
                <w:szCs w:val="28"/>
                <w:lang w:val="uk-UA"/>
              </w:rPr>
              <w:t xml:space="preserve">аказу враховані положення заходів пункту 1 Плану. </w:t>
            </w:r>
            <w:r w:rsidR="00DA66C9">
              <w:rPr>
                <w:sz w:val="28"/>
                <w:szCs w:val="28"/>
                <w:lang w:val="uk-UA"/>
              </w:rPr>
              <w:t>Провадження</w:t>
            </w:r>
            <w:r w:rsidR="00E365FE" w:rsidRPr="00BE18E4">
              <w:rPr>
                <w:sz w:val="28"/>
                <w:szCs w:val="28"/>
                <w:lang w:val="uk-UA"/>
              </w:rPr>
              <w:t xml:space="preserve"> діяльності в прозорому нормативно-правовому полі щодо вимог до якості надання послуг </w:t>
            </w:r>
            <w:r w:rsidR="003A6211">
              <w:rPr>
                <w:sz w:val="28"/>
                <w:szCs w:val="28"/>
                <w:lang w:val="uk-UA"/>
              </w:rPr>
              <w:t>рухомого (мобільного)</w:t>
            </w:r>
            <w:r w:rsidR="00E365FE" w:rsidRPr="00BE18E4">
              <w:rPr>
                <w:sz w:val="28"/>
                <w:szCs w:val="28"/>
                <w:lang w:val="uk-UA"/>
              </w:rPr>
              <w:t xml:space="preserve"> зв’язку.</w:t>
            </w:r>
            <w:r w:rsidR="00D87425">
              <w:rPr>
                <w:sz w:val="28"/>
                <w:szCs w:val="28"/>
                <w:lang w:val="uk-UA"/>
              </w:rPr>
              <w:t xml:space="preserve"> </w:t>
            </w:r>
            <w:r w:rsidR="00847E19">
              <w:rPr>
                <w:sz w:val="28"/>
                <w:szCs w:val="28"/>
                <w:lang w:val="uk-UA"/>
              </w:rPr>
              <w:t>Об’єктивна о</w:t>
            </w:r>
            <w:r w:rsidR="00E365FE" w:rsidRPr="00E60186">
              <w:rPr>
                <w:sz w:val="28"/>
                <w:szCs w:val="28"/>
                <w:lang w:val="uk-UA"/>
              </w:rPr>
              <w:t xml:space="preserve">цінка </w:t>
            </w:r>
            <w:r w:rsidR="00E365FE" w:rsidRPr="000D69A1">
              <w:rPr>
                <w:sz w:val="28"/>
                <w:szCs w:val="28"/>
                <w:lang w:val="uk-UA"/>
              </w:rPr>
              <w:t xml:space="preserve">якості послуг </w:t>
            </w:r>
            <w:r w:rsidR="00B330A6">
              <w:rPr>
                <w:sz w:val="28"/>
                <w:szCs w:val="28"/>
                <w:lang w:val="uk-UA"/>
              </w:rPr>
              <w:t>рухомого (мобільного)</w:t>
            </w:r>
            <w:r w:rsidR="00E365FE" w:rsidRPr="000D69A1">
              <w:rPr>
                <w:sz w:val="28"/>
                <w:szCs w:val="28"/>
                <w:lang w:val="uk-UA"/>
              </w:rPr>
              <w:t xml:space="preserve"> зв’язку, </w:t>
            </w:r>
            <w:r w:rsidR="00E365FE">
              <w:rPr>
                <w:sz w:val="28"/>
                <w:szCs w:val="28"/>
                <w:lang w:val="uk-UA"/>
              </w:rPr>
              <w:t>покращення</w:t>
            </w:r>
            <w:r w:rsidR="00E365FE" w:rsidRPr="000467E0">
              <w:rPr>
                <w:sz w:val="28"/>
                <w:szCs w:val="28"/>
                <w:lang w:val="uk-UA"/>
              </w:rPr>
              <w:t xml:space="preserve"> </w:t>
            </w:r>
            <w:r w:rsidR="00E365FE">
              <w:rPr>
                <w:sz w:val="28"/>
                <w:szCs w:val="28"/>
                <w:lang w:val="uk-UA"/>
              </w:rPr>
              <w:t>якості</w:t>
            </w:r>
            <w:r w:rsidR="00E365FE" w:rsidRPr="000467E0">
              <w:rPr>
                <w:sz w:val="28"/>
                <w:szCs w:val="28"/>
                <w:lang w:val="uk-UA"/>
              </w:rPr>
              <w:t xml:space="preserve"> послуг</w:t>
            </w:r>
            <w:r w:rsidR="00DA66C9">
              <w:rPr>
                <w:sz w:val="28"/>
                <w:szCs w:val="28"/>
                <w:lang w:val="uk-UA"/>
              </w:rPr>
              <w:t>,</w:t>
            </w:r>
            <w:r w:rsidR="00847E19">
              <w:rPr>
                <w:sz w:val="28"/>
                <w:szCs w:val="28"/>
                <w:lang w:val="uk-UA"/>
              </w:rPr>
              <w:t xml:space="preserve"> наданих оператором</w:t>
            </w:r>
            <w:r w:rsidR="002C2250">
              <w:rPr>
                <w:sz w:val="28"/>
                <w:szCs w:val="28"/>
                <w:lang w:val="uk-UA"/>
              </w:rPr>
              <w:t>, провайдером телекомунікацій.</w:t>
            </w:r>
            <w:r w:rsidR="00332E3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E" w:rsidRPr="000E1420" w:rsidRDefault="000E1420" w:rsidP="00DA66C9">
            <w:pPr>
              <w:ind w:left="114" w:right="83"/>
              <w:jc w:val="center"/>
              <w:rPr>
                <w:sz w:val="28"/>
                <w:szCs w:val="28"/>
              </w:rPr>
            </w:pPr>
            <w:r w:rsidRPr="000E1420">
              <w:rPr>
                <w:bCs/>
                <w:sz w:val="28"/>
                <w:szCs w:val="28"/>
                <w:lang w:val="uk-UA"/>
              </w:rPr>
              <w:t>Ризику впливу зовнішніх чинників на дію запропонованого регуляторного акту немає</w:t>
            </w:r>
          </w:p>
        </w:tc>
      </w:tr>
    </w:tbl>
    <w:p w:rsidR="008356CE" w:rsidRDefault="008356CE" w:rsidP="00EF6C16">
      <w:pPr>
        <w:ind w:firstLine="700"/>
        <w:jc w:val="both"/>
        <w:rPr>
          <w:b/>
          <w:sz w:val="28"/>
          <w:szCs w:val="28"/>
          <w:lang w:val="uk-UA"/>
        </w:rPr>
      </w:pPr>
    </w:p>
    <w:p w:rsidR="00EF6C16" w:rsidRDefault="002916AC" w:rsidP="00EF6C16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V.  </w:t>
      </w:r>
      <w:r w:rsidR="00E365FE" w:rsidRPr="008B0595">
        <w:rPr>
          <w:b/>
          <w:sz w:val="28"/>
          <w:szCs w:val="28"/>
          <w:lang w:val="uk-UA"/>
        </w:rPr>
        <w:t>Механізм та заходи, які забезпечать розв’язання визначеної проблеми</w:t>
      </w:r>
    </w:p>
    <w:p w:rsidR="00E365FE" w:rsidRPr="007F0C1E" w:rsidRDefault="00E365FE" w:rsidP="00EF6C16">
      <w:pPr>
        <w:ind w:firstLine="700"/>
        <w:jc w:val="both"/>
        <w:rPr>
          <w:sz w:val="28"/>
          <w:szCs w:val="28"/>
          <w:lang w:val="uk-UA" w:eastAsia="uk-UA"/>
        </w:rPr>
      </w:pPr>
      <w:r w:rsidRPr="007F0C1E">
        <w:rPr>
          <w:sz w:val="28"/>
          <w:szCs w:val="28"/>
          <w:lang w:val="uk-UA"/>
        </w:rPr>
        <w:t>Механізмом, який забезпечить розв’язання проблеми, є прийняття регуляторного акта.</w:t>
      </w:r>
    </w:p>
    <w:p w:rsidR="00DF488C" w:rsidRDefault="00BD3632" w:rsidP="002A479D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Реалізація</w:t>
      </w:r>
      <w:r w:rsidR="008B2EF0">
        <w:rPr>
          <w:sz w:val="28"/>
          <w:szCs w:val="28"/>
          <w:lang w:val="uk-UA"/>
        </w:rPr>
        <w:t xml:space="preserve"> </w:t>
      </w:r>
      <w:r w:rsidR="00A67CA0">
        <w:rPr>
          <w:sz w:val="28"/>
          <w:szCs w:val="28"/>
          <w:lang w:val="uk-UA"/>
        </w:rPr>
        <w:t>н</w:t>
      </w:r>
      <w:r w:rsidR="00E365FE" w:rsidRPr="00BE18E4">
        <w:rPr>
          <w:sz w:val="28"/>
          <w:szCs w:val="28"/>
          <w:lang w:val="uk-UA"/>
        </w:rPr>
        <w:t>аказ</w:t>
      </w:r>
      <w:r w:rsidR="00E365FE">
        <w:rPr>
          <w:sz w:val="28"/>
          <w:szCs w:val="28"/>
          <w:lang w:val="uk-UA"/>
        </w:rPr>
        <w:t>у</w:t>
      </w:r>
      <w:r w:rsidR="00A67CA0">
        <w:rPr>
          <w:sz w:val="28"/>
          <w:szCs w:val="28"/>
          <w:lang w:val="uk-UA"/>
        </w:rPr>
        <w:t xml:space="preserve"> </w:t>
      </w:r>
      <w:r w:rsidR="00A67CA0" w:rsidRPr="00A67CA0">
        <w:rPr>
          <w:color w:val="000000"/>
          <w:sz w:val="28"/>
          <w:szCs w:val="28"/>
          <w:lang w:val="uk-UA"/>
        </w:rPr>
        <w:t xml:space="preserve">Адміністрації </w:t>
      </w:r>
      <w:r w:rsidR="00EB0EBA">
        <w:rPr>
          <w:color w:val="000000"/>
          <w:sz w:val="28"/>
          <w:szCs w:val="28"/>
          <w:lang w:val="uk-UA"/>
        </w:rPr>
        <w:t>Держспецзв’язку</w:t>
      </w:r>
      <w:r w:rsidR="00A67CA0" w:rsidRPr="00A67CA0">
        <w:rPr>
          <w:sz w:val="28"/>
          <w:szCs w:val="28"/>
          <w:lang w:val="uk-UA"/>
        </w:rPr>
        <w:t xml:space="preserve"> «</w:t>
      </w:r>
      <w:r w:rsidR="00A67CA0" w:rsidRPr="00A67CA0">
        <w:rPr>
          <w:bCs/>
          <w:sz w:val="28"/>
          <w:szCs w:val="28"/>
          <w:lang w:val="uk-UA"/>
        </w:rPr>
        <w:t>Про затвердження Вимог щодо рівня якості послуг рухомого (мобільного) зв’язку</w:t>
      </w:r>
      <w:r w:rsidR="00A67CA0" w:rsidRPr="00A67CA0">
        <w:rPr>
          <w:sz w:val="28"/>
          <w:szCs w:val="28"/>
          <w:lang w:val="uk-UA"/>
        </w:rPr>
        <w:t>»</w:t>
      </w:r>
      <w:r w:rsidR="00E365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надасть </w:t>
      </w:r>
      <w:r w:rsidR="00F664FF">
        <w:rPr>
          <w:sz w:val="28"/>
          <w:szCs w:val="28"/>
          <w:lang w:val="uk-UA"/>
        </w:rPr>
        <w:t>можливість споживачам отримувати якісніші послуги рухомого (мобільного) зв’язку</w:t>
      </w:r>
      <w:r w:rsidR="00E365FE">
        <w:rPr>
          <w:sz w:val="28"/>
          <w:szCs w:val="28"/>
          <w:lang w:val="uk-UA"/>
        </w:rPr>
        <w:t>,</w:t>
      </w:r>
      <w:r w:rsidR="00E365FE" w:rsidRPr="00BE18E4">
        <w:rPr>
          <w:sz w:val="28"/>
          <w:szCs w:val="28"/>
          <w:lang w:val="uk-UA"/>
        </w:rPr>
        <w:t xml:space="preserve"> НКРЗ</w:t>
      </w:r>
      <w:r w:rsidR="00E365FE">
        <w:rPr>
          <w:sz w:val="28"/>
          <w:szCs w:val="28"/>
          <w:lang w:val="uk-UA"/>
        </w:rPr>
        <w:t>І</w:t>
      </w:r>
      <w:r w:rsidR="00E365FE" w:rsidRPr="00BE18E4">
        <w:rPr>
          <w:sz w:val="28"/>
          <w:szCs w:val="28"/>
          <w:lang w:val="uk-UA"/>
        </w:rPr>
        <w:t xml:space="preserve"> </w:t>
      </w:r>
      <w:r w:rsidR="00E365FE">
        <w:rPr>
          <w:sz w:val="28"/>
          <w:szCs w:val="28"/>
          <w:lang w:val="uk-UA"/>
        </w:rPr>
        <w:t xml:space="preserve">– </w:t>
      </w:r>
      <w:r w:rsidR="002F2E59">
        <w:rPr>
          <w:sz w:val="28"/>
          <w:szCs w:val="28"/>
          <w:lang w:val="uk-UA"/>
        </w:rPr>
        <w:t>здійснювати</w:t>
      </w:r>
      <w:r w:rsidR="00E365FE" w:rsidRPr="00BE18E4">
        <w:rPr>
          <w:sz w:val="28"/>
          <w:szCs w:val="28"/>
          <w:lang w:val="uk-UA"/>
        </w:rPr>
        <w:t xml:space="preserve"> відповідно до компетенції </w:t>
      </w:r>
      <w:r w:rsidR="002F2E59">
        <w:rPr>
          <w:sz w:val="28"/>
          <w:szCs w:val="28"/>
          <w:lang w:val="uk-UA"/>
        </w:rPr>
        <w:t>об’єктивний</w:t>
      </w:r>
      <w:r w:rsidR="00847E19">
        <w:rPr>
          <w:sz w:val="28"/>
          <w:szCs w:val="28"/>
          <w:lang w:val="uk-UA"/>
        </w:rPr>
        <w:t xml:space="preserve"> </w:t>
      </w:r>
      <w:r w:rsidR="002F2E59">
        <w:rPr>
          <w:sz w:val="28"/>
          <w:szCs w:val="28"/>
          <w:lang w:val="uk-UA"/>
        </w:rPr>
        <w:t>контроль</w:t>
      </w:r>
      <w:r w:rsidR="00E365FE" w:rsidRPr="00BE18E4">
        <w:rPr>
          <w:sz w:val="28"/>
          <w:szCs w:val="28"/>
          <w:lang w:val="uk-UA"/>
        </w:rPr>
        <w:t xml:space="preserve"> за якістю надання </w:t>
      </w:r>
      <w:r w:rsidR="002A479D">
        <w:rPr>
          <w:sz w:val="28"/>
          <w:szCs w:val="28"/>
          <w:lang w:val="uk-UA"/>
        </w:rPr>
        <w:t>послуг рухомого (мобільного) зв’язку.</w:t>
      </w:r>
    </w:p>
    <w:p w:rsidR="00924100" w:rsidRDefault="00924100" w:rsidP="002A479D">
      <w:pPr>
        <w:ind w:firstLine="741"/>
        <w:jc w:val="both"/>
        <w:rPr>
          <w:b/>
          <w:sz w:val="28"/>
          <w:szCs w:val="28"/>
          <w:lang w:val="uk-UA"/>
        </w:rPr>
      </w:pPr>
    </w:p>
    <w:p w:rsidR="00E365FE" w:rsidRPr="00D80B6A" w:rsidRDefault="002916AC" w:rsidP="00D80B6A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VI.  </w:t>
      </w:r>
      <w:r w:rsidR="00E365FE" w:rsidRPr="00D80B6A">
        <w:rPr>
          <w:b/>
          <w:sz w:val="28"/>
          <w:szCs w:val="28"/>
          <w:lang w:val="uk-UA"/>
        </w:rPr>
        <w:t>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085025" w:rsidRDefault="00E365FE" w:rsidP="00D80B6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80B6A">
        <w:rPr>
          <w:sz w:val="28"/>
          <w:szCs w:val="28"/>
          <w:lang w:val="uk-UA"/>
        </w:rPr>
        <w:t xml:space="preserve">Реалізація </w:t>
      </w:r>
      <w:r w:rsidR="00DF488C">
        <w:rPr>
          <w:sz w:val="28"/>
          <w:szCs w:val="28"/>
          <w:lang w:val="uk-UA"/>
        </w:rPr>
        <w:t>Н</w:t>
      </w:r>
      <w:r w:rsidRPr="00D80B6A">
        <w:rPr>
          <w:sz w:val="28"/>
          <w:szCs w:val="28"/>
          <w:lang w:val="uk-UA"/>
        </w:rPr>
        <w:t xml:space="preserve">аказу не потребує додаткових матеріальних, фінансових та інших ресурсів </w:t>
      </w:r>
      <w:r w:rsidR="00DF488C">
        <w:rPr>
          <w:sz w:val="28"/>
          <w:szCs w:val="28"/>
          <w:lang w:val="uk-UA"/>
        </w:rPr>
        <w:t>д</w:t>
      </w:r>
      <w:r w:rsidR="00C01D36">
        <w:rPr>
          <w:sz w:val="28"/>
          <w:szCs w:val="28"/>
          <w:lang w:val="uk-UA"/>
        </w:rPr>
        <w:t>ержавного</w:t>
      </w:r>
      <w:r>
        <w:rPr>
          <w:sz w:val="28"/>
          <w:szCs w:val="28"/>
          <w:lang w:val="uk-UA"/>
        </w:rPr>
        <w:t xml:space="preserve"> та місцевих бюджетів</w:t>
      </w:r>
      <w:r w:rsidRPr="00D80B6A">
        <w:rPr>
          <w:sz w:val="28"/>
          <w:szCs w:val="28"/>
          <w:lang w:val="uk-UA"/>
        </w:rPr>
        <w:t>.</w:t>
      </w:r>
      <w:r w:rsidR="00686E4C">
        <w:rPr>
          <w:sz w:val="28"/>
          <w:szCs w:val="28"/>
          <w:lang w:val="uk-UA"/>
        </w:rPr>
        <w:t xml:space="preserve"> </w:t>
      </w:r>
    </w:p>
    <w:p w:rsidR="00E365FE" w:rsidRDefault="00E365FE" w:rsidP="00D80B6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D80B6A">
        <w:rPr>
          <w:sz w:val="28"/>
          <w:szCs w:val="28"/>
          <w:lang w:val="uk-UA"/>
        </w:rPr>
        <w:t>За результатами введення в дію запропонованого регуляторного акта не передбачається нанесення шкоди суб’єктам господарювання, тому механізм повної або часткової компенсації можливої шкоди у разі настання очікуваних наслідків дії акта не розроблявся.</w:t>
      </w:r>
    </w:p>
    <w:p w:rsidR="009B34E7" w:rsidRDefault="009B34E7" w:rsidP="00D80B6A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949"/>
      </w:tblGrid>
      <w:tr w:rsidR="001367F7" w:rsidRPr="00BE18E4" w:rsidTr="00EF6C16">
        <w:tc>
          <w:tcPr>
            <w:tcW w:w="2376" w:type="dxa"/>
          </w:tcPr>
          <w:p w:rsidR="00E365FE" w:rsidRPr="008E1CB0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Об’єкт впливу</w:t>
            </w:r>
          </w:p>
        </w:tc>
        <w:tc>
          <w:tcPr>
            <w:tcW w:w="5245" w:type="dxa"/>
          </w:tcPr>
          <w:p w:rsidR="00E365FE" w:rsidRPr="008E1CB0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Вигоди</w:t>
            </w:r>
          </w:p>
        </w:tc>
        <w:tc>
          <w:tcPr>
            <w:tcW w:w="1949" w:type="dxa"/>
          </w:tcPr>
          <w:p w:rsidR="00E365FE" w:rsidRPr="008E1CB0" w:rsidRDefault="00E365FE" w:rsidP="000D69A1">
            <w:pPr>
              <w:jc w:val="center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Витрати</w:t>
            </w:r>
          </w:p>
        </w:tc>
      </w:tr>
      <w:tr w:rsidR="001367F7" w:rsidRPr="00BE18E4" w:rsidTr="00EF6C16">
        <w:tc>
          <w:tcPr>
            <w:tcW w:w="2376" w:type="dxa"/>
          </w:tcPr>
          <w:p w:rsidR="00E365FE" w:rsidRPr="008E1CB0" w:rsidRDefault="00E365FE" w:rsidP="00EB2193">
            <w:pPr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5245" w:type="dxa"/>
          </w:tcPr>
          <w:p w:rsidR="00010902" w:rsidRPr="008E1CB0" w:rsidRDefault="00E365FE" w:rsidP="00346F23">
            <w:pPr>
              <w:jc w:val="both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Створення рівних умов</w:t>
            </w:r>
            <w:r w:rsidR="000D69A1">
              <w:rPr>
                <w:sz w:val="28"/>
                <w:szCs w:val="28"/>
                <w:lang w:val="uk-UA"/>
              </w:rPr>
              <w:t xml:space="preserve"> </w:t>
            </w:r>
            <w:r w:rsidRPr="008E1CB0">
              <w:rPr>
                <w:sz w:val="28"/>
                <w:szCs w:val="28"/>
                <w:lang w:val="uk-UA"/>
              </w:rPr>
              <w:t xml:space="preserve">щодо вимог до </w:t>
            </w:r>
            <w:r w:rsidR="001C25AC">
              <w:rPr>
                <w:sz w:val="28"/>
                <w:szCs w:val="28"/>
                <w:lang w:val="uk-UA"/>
              </w:rPr>
              <w:t xml:space="preserve">рівня </w:t>
            </w:r>
            <w:r w:rsidRPr="008E1CB0">
              <w:rPr>
                <w:sz w:val="28"/>
                <w:szCs w:val="28"/>
                <w:lang w:val="uk-UA"/>
              </w:rPr>
              <w:t xml:space="preserve">якості надання послуг </w:t>
            </w:r>
            <w:r w:rsidR="00F26D0D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F26D0D" w:rsidRPr="008E1CB0">
              <w:rPr>
                <w:sz w:val="28"/>
                <w:szCs w:val="28"/>
                <w:lang w:val="uk-UA"/>
              </w:rPr>
              <w:t xml:space="preserve"> </w:t>
            </w:r>
            <w:r w:rsidRPr="008E1CB0">
              <w:rPr>
                <w:sz w:val="28"/>
                <w:szCs w:val="28"/>
                <w:lang w:val="uk-UA"/>
              </w:rPr>
              <w:t>для операторів</w:t>
            </w:r>
            <w:r w:rsidR="007053D1">
              <w:rPr>
                <w:sz w:val="28"/>
                <w:szCs w:val="28"/>
                <w:lang w:val="uk-UA"/>
              </w:rPr>
              <w:t>, провайдерів</w:t>
            </w:r>
            <w:r w:rsidRPr="008E1CB0">
              <w:rPr>
                <w:sz w:val="28"/>
                <w:szCs w:val="28"/>
                <w:lang w:val="uk-UA"/>
              </w:rPr>
              <w:t xml:space="preserve"> телекомунікацій усіх форм власності, що сприятиме розвитку конкуренції на ринку послуг </w:t>
            </w:r>
            <w:r w:rsidR="00F26D0D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EF6C1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9" w:type="dxa"/>
          </w:tcPr>
          <w:p w:rsidR="00E365FE" w:rsidRPr="008E1CB0" w:rsidRDefault="00DF488C" w:rsidP="00EB21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Додаткових витрат</w:t>
            </w:r>
            <w:r w:rsidR="00E365FE" w:rsidRPr="008E1CB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1367F7" w:rsidRPr="00387AB8" w:rsidTr="00EF6C16">
        <w:tc>
          <w:tcPr>
            <w:tcW w:w="2376" w:type="dxa"/>
          </w:tcPr>
          <w:p w:rsidR="00E365FE" w:rsidRPr="008E1CB0" w:rsidRDefault="00E365FE" w:rsidP="00EB2193">
            <w:pPr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Суб’єкти господарювання</w:t>
            </w:r>
          </w:p>
        </w:tc>
        <w:tc>
          <w:tcPr>
            <w:tcW w:w="5245" w:type="dxa"/>
          </w:tcPr>
          <w:p w:rsidR="00E365FE" w:rsidRPr="008E1CB0" w:rsidRDefault="00E365FE" w:rsidP="00346F23">
            <w:pPr>
              <w:jc w:val="both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 xml:space="preserve">Здійснення діяльності в прозорому нормативно-правовому полі щодо </w:t>
            </w:r>
            <w:r w:rsidR="00C07663">
              <w:rPr>
                <w:sz w:val="28"/>
                <w:szCs w:val="28"/>
                <w:lang w:val="uk-UA"/>
              </w:rPr>
              <w:t xml:space="preserve">дотримання </w:t>
            </w:r>
            <w:r w:rsidRPr="008E1CB0">
              <w:rPr>
                <w:sz w:val="28"/>
                <w:szCs w:val="28"/>
                <w:lang w:val="uk-UA"/>
              </w:rPr>
              <w:t xml:space="preserve">вимог до </w:t>
            </w:r>
            <w:r w:rsidR="001C25AC">
              <w:rPr>
                <w:sz w:val="28"/>
                <w:szCs w:val="28"/>
                <w:lang w:val="uk-UA"/>
              </w:rPr>
              <w:t xml:space="preserve">рівня </w:t>
            </w:r>
            <w:r w:rsidRPr="008E1CB0">
              <w:rPr>
                <w:sz w:val="28"/>
                <w:szCs w:val="28"/>
                <w:lang w:val="uk-UA"/>
              </w:rPr>
              <w:t xml:space="preserve">якості надання послуг </w:t>
            </w:r>
            <w:r w:rsidR="00F26D0D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Pr="008E1CB0">
              <w:rPr>
                <w:sz w:val="28"/>
                <w:szCs w:val="28"/>
                <w:lang w:val="uk-UA"/>
              </w:rPr>
              <w:t>.</w:t>
            </w:r>
          </w:p>
          <w:p w:rsidR="00E365FE" w:rsidRPr="008E1CB0" w:rsidRDefault="00E365FE" w:rsidP="00346F23">
            <w:pPr>
              <w:jc w:val="both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 xml:space="preserve">Можливість покращення якості послуг </w:t>
            </w:r>
            <w:r w:rsidR="00F26D0D">
              <w:rPr>
                <w:sz w:val="28"/>
                <w:szCs w:val="28"/>
                <w:lang w:val="uk-UA"/>
              </w:rPr>
              <w:t>рухомого (мобільного) зв’язку</w:t>
            </w:r>
            <w:r w:rsidR="00EF6C1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9" w:type="dxa"/>
          </w:tcPr>
          <w:p w:rsidR="00E365FE" w:rsidRPr="008E1CB0" w:rsidRDefault="00D93E2E" w:rsidP="00EB21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Додаткових витрат</w:t>
            </w:r>
            <w:r w:rsidRPr="008E1CB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  <w:tr w:rsidR="001367F7" w:rsidRPr="00387AB8" w:rsidTr="00EF6C16">
        <w:tc>
          <w:tcPr>
            <w:tcW w:w="2376" w:type="dxa"/>
          </w:tcPr>
          <w:p w:rsidR="00E365FE" w:rsidRPr="008E1CB0" w:rsidRDefault="00E365FE" w:rsidP="00EB2193">
            <w:pPr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5245" w:type="dxa"/>
          </w:tcPr>
          <w:p w:rsidR="005F6CD6" w:rsidRPr="008E1CB0" w:rsidRDefault="00E365FE" w:rsidP="00346F23">
            <w:pPr>
              <w:jc w:val="both"/>
              <w:rPr>
                <w:sz w:val="28"/>
                <w:szCs w:val="28"/>
                <w:lang w:val="uk-UA"/>
              </w:rPr>
            </w:pPr>
            <w:r w:rsidRPr="008E1CB0">
              <w:rPr>
                <w:sz w:val="28"/>
                <w:szCs w:val="28"/>
                <w:lang w:val="uk-UA"/>
              </w:rPr>
              <w:t xml:space="preserve">Отримання послуг </w:t>
            </w:r>
            <w:r w:rsidR="00F26D0D">
              <w:rPr>
                <w:sz w:val="28"/>
                <w:szCs w:val="28"/>
                <w:lang w:val="uk-UA"/>
              </w:rPr>
              <w:t xml:space="preserve">рухомого (мобільного) зв’язку </w:t>
            </w:r>
            <w:r w:rsidR="00CA7E31">
              <w:rPr>
                <w:sz w:val="28"/>
                <w:szCs w:val="28"/>
                <w:lang w:val="uk-UA"/>
              </w:rPr>
              <w:t xml:space="preserve">визначеної </w:t>
            </w:r>
            <w:r w:rsidRPr="008E1CB0">
              <w:rPr>
                <w:sz w:val="28"/>
                <w:szCs w:val="28"/>
                <w:lang w:val="uk-UA"/>
              </w:rPr>
              <w:t>якості</w:t>
            </w:r>
            <w:r w:rsidR="005F6C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949" w:type="dxa"/>
          </w:tcPr>
          <w:p w:rsidR="00E365FE" w:rsidRPr="008E1CB0" w:rsidRDefault="00D93E2E" w:rsidP="00EB219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Додаткових витрат</w:t>
            </w:r>
            <w:r w:rsidRPr="008E1CB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немає</w:t>
            </w:r>
          </w:p>
        </w:tc>
      </w:tr>
    </w:tbl>
    <w:p w:rsidR="00E365FE" w:rsidRDefault="00E365FE" w:rsidP="003749AA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3749AA" w:rsidRDefault="009B34E7" w:rsidP="003749AA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VII. </w:t>
      </w:r>
      <w:r w:rsidR="00E365FE" w:rsidRPr="003749AA">
        <w:rPr>
          <w:b/>
          <w:sz w:val="28"/>
          <w:szCs w:val="28"/>
          <w:lang w:val="uk-UA"/>
        </w:rPr>
        <w:t>Обґрунтування запропонованого строку дії регуляторного акта</w:t>
      </w:r>
    </w:p>
    <w:p w:rsidR="00E365FE" w:rsidRPr="00DA3C62" w:rsidRDefault="00E365FE" w:rsidP="00B963A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A3C62">
        <w:rPr>
          <w:sz w:val="28"/>
          <w:szCs w:val="28"/>
          <w:lang w:val="uk-UA"/>
        </w:rPr>
        <w:t xml:space="preserve">Строк дії запропонованого регуляторного акта встановлюється на необмежений термін. </w:t>
      </w:r>
    </w:p>
    <w:p w:rsidR="00E365FE" w:rsidRPr="00DA3C62" w:rsidRDefault="00E365FE" w:rsidP="00B963AA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DA3C62">
        <w:rPr>
          <w:sz w:val="28"/>
          <w:szCs w:val="28"/>
          <w:lang w:val="uk-UA"/>
        </w:rPr>
        <w:t xml:space="preserve">Зміна </w:t>
      </w:r>
      <w:r w:rsidR="00C30786">
        <w:rPr>
          <w:sz w:val="28"/>
          <w:szCs w:val="28"/>
          <w:lang w:val="uk-UA"/>
        </w:rPr>
        <w:t>с</w:t>
      </w:r>
      <w:r w:rsidR="00C30786" w:rsidRPr="00DA3C62">
        <w:rPr>
          <w:sz w:val="28"/>
          <w:szCs w:val="28"/>
          <w:lang w:val="uk-UA"/>
        </w:rPr>
        <w:t>трок</w:t>
      </w:r>
      <w:r w:rsidR="00C30786">
        <w:rPr>
          <w:sz w:val="28"/>
          <w:szCs w:val="28"/>
          <w:lang w:val="uk-UA"/>
        </w:rPr>
        <w:t>у</w:t>
      </w:r>
      <w:r w:rsidR="00C30786" w:rsidRPr="00DA3C62">
        <w:rPr>
          <w:sz w:val="28"/>
          <w:szCs w:val="28"/>
          <w:lang w:val="uk-UA"/>
        </w:rPr>
        <w:t xml:space="preserve"> дії </w:t>
      </w:r>
      <w:r w:rsidRPr="00DA3C62">
        <w:rPr>
          <w:sz w:val="28"/>
          <w:szCs w:val="28"/>
          <w:lang w:val="uk-UA"/>
        </w:rPr>
        <w:t xml:space="preserve">акта можлива в разі зміни </w:t>
      </w:r>
      <w:r w:rsidR="00C01D36">
        <w:rPr>
          <w:sz w:val="28"/>
          <w:szCs w:val="28"/>
          <w:lang w:val="uk-UA"/>
        </w:rPr>
        <w:t>законодавства</w:t>
      </w:r>
      <w:r w:rsidRPr="00DA3C62">
        <w:rPr>
          <w:sz w:val="28"/>
          <w:szCs w:val="28"/>
          <w:lang w:val="uk-UA"/>
        </w:rPr>
        <w:t xml:space="preserve">, на вимогах яких базується </w:t>
      </w:r>
      <w:r w:rsidR="00976547">
        <w:rPr>
          <w:sz w:val="28"/>
          <w:szCs w:val="28"/>
          <w:lang w:val="uk-UA"/>
        </w:rPr>
        <w:t>проєкт</w:t>
      </w:r>
      <w:r w:rsidRPr="00DA3C62">
        <w:rPr>
          <w:b/>
          <w:sz w:val="28"/>
          <w:szCs w:val="28"/>
          <w:lang w:val="uk-UA"/>
        </w:rPr>
        <w:t xml:space="preserve"> </w:t>
      </w:r>
      <w:r w:rsidRPr="00DA3C62">
        <w:rPr>
          <w:sz w:val="28"/>
          <w:szCs w:val="28"/>
          <w:lang w:val="uk-UA"/>
        </w:rPr>
        <w:t xml:space="preserve">регуляторного акта. </w:t>
      </w:r>
    </w:p>
    <w:p w:rsidR="00322138" w:rsidRDefault="00322138" w:rsidP="00DA3C62">
      <w:pPr>
        <w:ind w:firstLine="700"/>
        <w:jc w:val="both"/>
        <w:rPr>
          <w:b/>
          <w:sz w:val="28"/>
          <w:szCs w:val="28"/>
          <w:lang w:val="uk-UA"/>
        </w:rPr>
      </w:pPr>
    </w:p>
    <w:p w:rsidR="00E365FE" w:rsidRPr="00DA3C62" w:rsidRDefault="00E365FE" w:rsidP="00DA3C62">
      <w:pPr>
        <w:ind w:firstLine="700"/>
        <w:jc w:val="both"/>
        <w:rPr>
          <w:b/>
          <w:sz w:val="28"/>
          <w:szCs w:val="28"/>
          <w:lang w:val="uk-UA"/>
        </w:rPr>
      </w:pPr>
      <w:r w:rsidRPr="00DA3C62">
        <w:rPr>
          <w:b/>
          <w:sz w:val="28"/>
          <w:szCs w:val="28"/>
          <w:lang w:val="uk-UA"/>
        </w:rPr>
        <w:t>VIII.</w:t>
      </w:r>
      <w:r w:rsidR="00D93E2E">
        <w:rPr>
          <w:b/>
          <w:sz w:val="28"/>
          <w:szCs w:val="28"/>
          <w:lang w:val="uk-UA"/>
        </w:rPr>
        <w:t> </w:t>
      </w:r>
      <w:r w:rsidRPr="00DA3C62">
        <w:rPr>
          <w:b/>
          <w:sz w:val="28"/>
          <w:szCs w:val="28"/>
          <w:lang w:val="uk-UA"/>
        </w:rPr>
        <w:t>Визначення</w:t>
      </w:r>
      <w:r w:rsidR="009B2438">
        <w:rPr>
          <w:b/>
          <w:sz w:val="28"/>
          <w:szCs w:val="28"/>
          <w:lang w:val="uk-UA"/>
        </w:rPr>
        <w:t> </w:t>
      </w:r>
      <w:r w:rsidRPr="00DA3C62">
        <w:rPr>
          <w:b/>
          <w:sz w:val="28"/>
          <w:szCs w:val="28"/>
          <w:lang w:val="uk-UA"/>
        </w:rPr>
        <w:t>показників</w:t>
      </w:r>
      <w:r w:rsidR="009B2438">
        <w:rPr>
          <w:b/>
          <w:sz w:val="28"/>
          <w:szCs w:val="28"/>
          <w:lang w:val="uk-UA"/>
        </w:rPr>
        <w:t> </w:t>
      </w:r>
      <w:r w:rsidRPr="00DA3C62">
        <w:rPr>
          <w:b/>
          <w:sz w:val="28"/>
          <w:szCs w:val="28"/>
          <w:lang w:val="uk-UA"/>
        </w:rPr>
        <w:t>результативності дії регуляторного акта</w:t>
      </w:r>
    </w:p>
    <w:p w:rsidR="00E365FE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>Показниками результативності запропонованого регуляторного акта є: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>підвищення ефективності діяльності операторів</w:t>
      </w:r>
      <w:r w:rsidR="00C07663">
        <w:rPr>
          <w:sz w:val="28"/>
          <w:szCs w:val="28"/>
          <w:lang w:val="uk-UA"/>
        </w:rPr>
        <w:t xml:space="preserve">, провайдерів </w:t>
      </w:r>
      <w:r w:rsidRPr="00BE18E4">
        <w:rPr>
          <w:sz w:val="28"/>
          <w:szCs w:val="28"/>
          <w:lang w:val="uk-UA"/>
        </w:rPr>
        <w:t>телекомунікацій;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 xml:space="preserve">зменшення кількості випадків надання </w:t>
      </w:r>
      <w:r w:rsidR="00F664FF">
        <w:rPr>
          <w:sz w:val="28"/>
          <w:szCs w:val="28"/>
          <w:lang w:val="uk-UA"/>
        </w:rPr>
        <w:t>споживачам</w:t>
      </w:r>
      <w:r w:rsidRPr="00BE18E4">
        <w:rPr>
          <w:sz w:val="28"/>
          <w:szCs w:val="28"/>
          <w:lang w:val="uk-UA"/>
        </w:rPr>
        <w:t xml:space="preserve"> послуг </w:t>
      </w:r>
      <w:r w:rsidR="00F26D0D">
        <w:rPr>
          <w:sz w:val="28"/>
          <w:szCs w:val="28"/>
          <w:lang w:val="uk-UA"/>
        </w:rPr>
        <w:t>рухомого (мобільного) зв’язку</w:t>
      </w:r>
      <w:r w:rsidR="00F26D0D" w:rsidRPr="00BE18E4">
        <w:rPr>
          <w:sz w:val="28"/>
          <w:szCs w:val="28"/>
          <w:lang w:val="uk-UA"/>
        </w:rPr>
        <w:t xml:space="preserve"> </w:t>
      </w:r>
      <w:r w:rsidRPr="00BE18E4">
        <w:rPr>
          <w:sz w:val="28"/>
          <w:szCs w:val="28"/>
          <w:lang w:val="uk-UA"/>
        </w:rPr>
        <w:t>з відхиленням від встановлених норм;</w:t>
      </w:r>
    </w:p>
    <w:p w:rsidR="00E365FE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 xml:space="preserve">підвищення якості послуг </w:t>
      </w:r>
      <w:r w:rsidR="00F26D0D">
        <w:rPr>
          <w:sz w:val="28"/>
          <w:szCs w:val="28"/>
          <w:lang w:val="uk-UA"/>
        </w:rPr>
        <w:t>рухомого (мобільного) зв’язку</w:t>
      </w:r>
      <w:r w:rsidR="00D93E2E">
        <w:rPr>
          <w:sz w:val="28"/>
          <w:szCs w:val="28"/>
          <w:lang w:val="uk-UA"/>
        </w:rPr>
        <w:t>,</w:t>
      </w:r>
      <w:r w:rsidR="00085025">
        <w:rPr>
          <w:sz w:val="28"/>
          <w:szCs w:val="28"/>
          <w:lang w:val="uk-UA"/>
        </w:rPr>
        <w:t xml:space="preserve"> які надаються споживачам.</w:t>
      </w:r>
    </w:p>
    <w:p w:rsidR="00E365FE" w:rsidRPr="00BE18E4" w:rsidRDefault="00E365FE" w:rsidP="00E92CF8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>Кількість суб’єктів</w:t>
      </w:r>
      <w:r>
        <w:rPr>
          <w:sz w:val="28"/>
          <w:szCs w:val="28"/>
          <w:lang w:val="uk-UA"/>
        </w:rPr>
        <w:t xml:space="preserve"> господарювання</w:t>
      </w:r>
      <w:r w:rsidRPr="00BE18E4">
        <w:rPr>
          <w:sz w:val="28"/>
          <w:szCs w:val="28"/>
          <w:lang w:val="uk-UA"/>
        </w:rPr>
        <w:t>, що здійснюють або</w:t>
      </w:r>
      <w:r>
        <w:rPr>
          <w:sz w:val="28"/>
          <w:szCs w:val="28"/>
          <w:lang w:val="uk-UA"/>
        </w:rPr>
        <w:t xml:space="preserve"> б</w:t>
      </w:r>
      <w:r w:rsidRPr="00BE18E4">
        <w:rPr>
          <w:sz w:val="28"/>
          <w:szCs w:val="28"/>
          <w:lang w:val="uk-UA"/>
        </w:rPr>
        <w:t xml:space="preserve">удуть здійснювати надання послуг </w:t>
      </w:r>
      <w:r w:rsidR="00F26D0D">
        <w:rPr>
          <w:sz w:val="28"/>
          <w:szCs w:val="28"/>
          <w:lang w:val="uk-UA"/>
        </w:rPr>
        <w:t>рухомого (мобільного) зв’язку</w:t>
      </w:r>
      <w:r w:rsidRPr="00BE18E4">
        <w:rPr>
          <w:sz w:val="28"/>
          <w:szCs w:val="28"/>
          <w:lang w:val="uk-UA"/>
        </w:rPr>
        <w:t xml:space="preserve"> та на які поширюється дія регуляторного акта, необмежена.</w:t>
      </w:r>
    </w:p>
    <w:p w:rsidR="00E365FE" w:rsidRPr="00BE18E4" w:rsidRDefault="00C06712" w:rsidP="00CB29CD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Надходження</w:t>
      </w:r>
      <w:r w:rsidR="00E365FE" w:rsidRPr="00BE18E4">
        <w:rPr>
          <w:sz w:val="28"/>
          <w:szCs w:val="28"/>
          <w:lang w:val="uk-UA"/>
        </w:rPr>
        <w:t xml:space="preserve"> до державного і місцевих бюджетів та держа</w:t>
      </w:r>
      <w:r>
        <w:rPr>
          <w:sz w:val="28"/>
          <w:szCs w:val="28"/>
          <w:lang w:val="uk-UA"/>
        </w:rPr>
        <w:t>вних цільових фондів, пов’язані з дією акта, не передбачаються</w:t>
      </w:r>
      <w:r w:rsidR="00E365FE" w:rsidRPr="00BE18E4">
        <w:rPr>
          <w:sz w:val="28"/>
          <w:szCs w:val="28"/>
          <w:lang w:val="uk-UA"/>
        </w:rPr>
        <w:t>, оскільки цей акт не регулює цих надходжень і не має впливу на них.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3D3CDA">
        <w:rPr>
          <w:sz w:val="28"/>
          <w:szCs w:val="28"/>
          <w:lang w:val="uk-UA"/>
        </w:rPr>
        <w:t xml:space="preserve">Прийняття регуляторного акта не передбачає витрату </w:t>
      </w:r>
      <w:r w:rsidR="00E17313" w:rsidRPr="003D3CDA">
        <w:rPr>
          <w:sz w:val="28"/>
          <w:szCs w:val="28"/>
          <w:lang w:val="uk-UA"/>
        </w:rPr>
        <w:t>к</w:t>
      </w:r>
      <w:r w:rsidR="00F724DC">
        <w:rPr>
          <w:sz w:val="28"/>
          <w:szCs w:val="28"/>
          <w:lang w:val="uk-UA"/>
        </w:rPr>
        <w:t xml:space="preserve">оштів суб’єктів господарювання, </w:t>
      </w:r>
      <w:r w:rsidR="00F724DC" w:rsidRPr="003D3CDA">
        <w:rPr>
          <w:sz w:val="28"/>
          <w:szCs w:val="28"/>
          <w:lang w:val="uk-UA"/>
        </w:rPr>
        <w:t>які здійснюють діяльність у сфері телекомунікацій</w:t>
      </w:r>
      <w:r w:rsidR="00F724DC">
        <w:rPr>
          <w:sz w:val="28"/>
          <w:szCs w:val="28"/>
          <w:lang w:val="uk-UA"/>
        </w:rPr>
        <w:t>.</w:t>
      </w:r>
    </w:p>
    <w:p w:rsidR="00E365FE" w:rsidRPr="00A91DBE" w:rsidRDefault="00E365FE" w:rsidP="00884B0E">
      <w:pPr>
        <w:ind w:firstLine="741"/>
        <w:jc w:val="both"/>
        <w:rPr>
          <w:sz w:val="28"/>
          <w:szCs w:val="28"/>
          <w:lang w:val="uk-UA"/>
        </w:rPr>
      </w:pPr>
      <w:r w:rsidRPr="00A91DBE">
        <w:rPr>
          <w:sz w:val="28"/>
          <w:szCs w:val="28"/>
          <w:lang w:val="uk-UA"/>
        </w:rPr>
        <w:t>Рівень поінформованості суб’єктів госп</w:t>
      </w:r>
      <w:r w:rsidR="00B330A6">
        <w:rPr>
          <w:sz w:val="28"/>
          <w:szCs w:val="28"/>
          <w:lang w:val="uk-UA"/>
        </w:rPr>
        <w:t xml:space="preserve">одарювання </w:t>
      </w:r>
      <w:r w:rsidR="009B34E7">
        <w:rPr>
          <w:sz w:val="28"/>
          <w:szCs w:val="28"/>
          <w:lang w:val="uk-UA"/>
        </w:rPr>
        <w:t>–</w:t>
      </w:r>
      <w:r w:rsidR="00B330A6">
        <w:rPr>
          <w:sz w:val="28"/>
          <w:szCs w:val="28"/>
          <w:lang w:val="uk-UA"/>
        </w:rPr>
        <w:t xml:space="preserve"> достатній: </w:t>
      </w:r>
      <w:r w:rsidR="00976547">
        <w:rPr>
          <w:sz w:val="28"/>
          <w:szCs w:val="28"/>
          <w:lang w:val="uk-UA"/>
        </w:rPr>
        <w:t>проєкт</w:t>
      </w:r>
      <w:r w:rsidR="00B330A6">
        <w:rPr>
          <w:sz w:val="28"/>
          <w:szCs w:val="28"/>
          <w:lang w:val="uk-UA"/>
        </w:rPr>
        <w:t xml:space="preserve"> Н</w:t>
      </w:r>
      <w:r w:rsidRPr="00A91DBE">
        <w:rPr>
          <w:sz w:val="28"/>
          <w:szCs w:val="28"/>
          <w:lang w:val="uk-UA"/>
        </w:rPr>
        <w:t>ак</w:t>
      </w:r>
      <w:r w:rsidR="00372CDB">
        <w:rPr>
          <w:sz w:val="28"/>
          <w:szCs w:val="28"/>
          <w:lang w:val="uk-UA"/>
        </w:rPr>
        <w:t>азу розміщено на офіційному веб</w:t>
      </w:r>
      <w:r w:rsidRPr="00A91DBE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>Державної служби спеціального зв</w:t>
      </w:r>
      <w:r w:rsidRPr="009D542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та захисту інформації України з метою одержання пропозицій і</w:t>
      </w:r>
      <w:r w:rsidRPr="00A91DBE">
        <w:rPr>
          <w:sz w:val="28"/>
          <w:szCs w:val="28"/>
          <w:lang w:val="uk-UA"/>
        </w:rPr>
        <w:t xml:space="preserve"> зауважень від фізичних та юридичних осіб.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BE18E4">
        <w:rPr>
          <w:sz w:val="28"/>
          <w:szCs w:val="28"/>
          <w:lang w:val="uk-UA"/>
        </w:rPr>
        <w:t xml:space="preserve">орми </w:t>
      </w:r>
      <w:r w:rsidR="00976547">
        <w:rPr>
          <w:sz w:val="28"/>
          <w:szCs w:val="28"/>
          <w:lang w:val="uk-UA"/>
        </w:rPr>
        <w:t>проєкт</w:t>
      </w:r>
      <w:r w:rsidR="00E42156">
        <w:rPr>
          <w:sz w:val="28"/>
          <w:szCs w:val="28"/>
          <w:lang w:val="uk-UA"/>
        </w:rPr>
        <w:t>у Н</w:t>
      </w:r>
      <w:r>
        <w:rPr>
          <w:sz w:val="28"/>
          <w:szCs w:val="28"/>
          <w:lang w:val="uk-UA"/>
        </w:rPr>
        <w:t xml:space="preserve">аказу </w:t>
      </w:r>
      <w:r w:rsidR="00C01D36">
        <w:rPr>
          <w:sz w:val="28"/>
          <w:szCs w:val="28"/>
          <w:lang w:val="uk-UA"/>
        </w:rPr>
        <w:t xml:space="preserve">попередньо </w:t>
      </w:r>
      <w:r w:rsidRPr="00BE18E4">
        <w:rPr>
          <w:sz w:val="28"/>
          <w:szCs w:val="28"/>
          <w:lang w:val="uk-UA"/>
        </w:rPr>
        <w:t xml:space="preserve">були </w:t>
      </w:r>
      <w:r w:rsidR="00010902">
        <w:rPr>
          <w:sz w:val="28"/>
          <w:szCs w:val="28"/>
          <w:lang w:val="uk-UA"/>
        </w:rPr>
        <w:t>обговорені</w:t>
      </w:r>
      <w:r>
        <w:rPr>
          <w:sz w:val="28"/>
          <w:szCs w:val="28"/>
          <w:lang w:val="uk-UA"/>
        </w:rPr>
        <w:t xml:space="preserve"> з учасниками ринку телекомунікацій.</w:t>
      </w:r>
    </w:p>
    <w:p w:rsidR="00E365FE" w:rsidRPr="005B4DB8" w:rsidRDefault="00E365FE" w:rsidP="00CB29CD">
      <w:pPr>
        <w:ind w:firstLine="741"/>
        <w:jc w:val="both"/>
        <w:rPr>
          <w:sz w:val="28"/>
          <w:szCs w:val="28"/>
          <w:lang w:val="uk-UA"/>
        </w:rPr>
      </w:pPr>
    </w:p>
    <w:p w:rsidR="00E365FE" w:rsidRPr="00E766B4" w:rsidRDefault="009B34E7" w:rsidP="00884B0E">
      <w:pPr>
        <w:ind w:firstLine="70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IX. </w:t>
      </w:r>
      <w:r w:rsidR="00E365FE" w:rsidRPr="00E766B4">
        <w:rPr>
          <w:b/>
          <w:sz w:val="28"/>
          <w:szCs w:val="28"/>
          <w:lang w:val="uk-UA"/>
        </w:rPr>
        <w:t>Визначення заходів, за допомогою яких здійснюватиметься відстеження результативності дії регуляторного акта</w:t>
      </w:r>
    </w:p>
    <w:p w:rsidR="00E365FE" w:rsidRPr="00A91DBE" w:rsidRDefault="00E365FE" w:rsidP="00B540B3">
      <w:pPr>
        <w:ind w:firstLine="741"/>
        <w:jc w:val="both"/>
        <w:rPr>
          <w:sz w:val="28"/>
          <w:szCs w:val="28"/>
          <w:lang w:val="uk-UA"/>
        </w:rPr>
      </w:pPr>
      <w:r w:rsidRPr="00A91DBE">
        <w:rPr>
          <w:sz w:val="28"/>
          <w:szCs w:val="28"/>
          <w:lang w:val="uk-UA"/>
        </w:rPr>
        <w:t>Відстеження результативності цього регуляторного акта буде здійснюватис</w:t>
      </w:r>
      <w:r>
        <w:rPr>
          <w:sz w:val="28"/>
          <w:szCs w:val="28"/>
          <w:lang w:val="uk-UA"/>
        </w:rPr>
        <w:t>я</w:t>
      </w:r>
      <w:r w:rsidRPr="00A91D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Адміністрацією Державної служби спеціального зв</w:t>
      </w:r>
      <w:r w:rsidRPr="009D542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язку та захисту інформації України</w:t>
      </w:r>
      <w:r w:rsidRPr="00A91DBE">
        <w:rPr>
          <w:sz w:val="28"/>
          <w:szCs w:val="28"/>
          <w:lang w:val="uk-UA"/>
        </w:rPr>
        <w:t xml:space="preserve"> шляхом проведення:</w:t>
      </w:r>
    </w:p>
    <w:p w:rsidR="00E365FE" w:rsidRPr="00FC626A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FC626A">
        <w:rPr>
          <w:sz w:val="28"/>
          <w:szCs w:val="28"/>
          <w:lang w:val="uk-UA"/>
        </w:rPr>
        <w:t xml:space="preserve">базового відстеження </w:t>
      </w:r>
      <w:r w:rsidR="009B34E7">
        <w:rPr>
          <w:sz w:val="28"/>
          <w:szCs w:val="28"/>
          <w:lang w:val="uk-UA"/>
        </w:rPr>
        <w:t>–</w:t>
      </w:r>
      <w:r w:rsidRPr="00FC626A">
        <w:rPr>
          <w:sz w:val="28"/>
          <w:szCs w:val="28"/>
          <w:lang w:val="uk-UA"/>
        </w:rPr>
        <w:t xml:space="preserve"> після </w:t>
      </w:r>
      <w:r>
        <w:rPr>
          <w:sz w:val="28"/>
          <w:szCs w:val="28"/>
          <w:lang w:val="uk-UA"/>
        </w:rPr>
        <w:t>опрацювання</w:t>
      </w:r>
      <w:r w:rsidRPr="00FC626A">
        <w:rPr>
          <w:sz w:val="28"/>
          <w:szCs w:val="28"/>
          <w:lang w:val="uk-UA"/>
        </w:rPr>
        <w:t xml:space="preserve"> статистичної звітності, але не пізніше дня, з якого починається проведення повторного відстеження результативності цього акта;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 xml:space="preserve">повторного відстеження </w:t>
      </w:r>
      <w:r w:rsidR="009B34E7">
        <w:rPr>
          <w:sz w:val="28"/>
          <w:szCs w:val="28"/>
          <w:lang w:val="uk-UA"/>
        </w:rPr>
        <w:t>–</w:t>
      </w:r>
      <w:r w:rsidRPr="00BE18E4">
        <w:rPr>
          <w:sz w:val="28"/>
          <w:szCs w:val="28"/>
          <w:lang w:val="uk-UA"/>
        </w:rPr>
        <w:t xml:space="preserve"> через рік з дня набрання чинності;</w:t>
      </w:r>
    </w:p>
    <w:p w:rsidR="00E365FE" w:rsidRPr="00BE18E4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 xml:space="preserve">періодичного відстеження </w:t>
      </w:r>
      <w:r w:rsidR="009B34E7">
        <w:rPr>
          <w:sz w:val="28"/>
          <w:szCs w:val="28"/>
          <w:lang w:val="uk-UA"/>
        </w:rPr>
        <w:t>–</w:t>
      </w:r>
      <w:r w:rsidRPr="00BE18E4">
        <w:rPr>
          <w:sz w:val="28"/>
          <w:szCs w:val="28"/>
          <w:lang w:val="uk-UA"/>
        </w:rPr>
        <w:t xml:space="preserve"> </w:t>
      </w:r>
      <w:r w:rsidR="00B330A6">
        <w:rPr>
          <w:sz w:val="28"/>
          <w:szCs w:val="28"/>
        </w:rPr>
        <w:t xml:space="preserve">раз на кожні три </w:t>
      </w:r>
      <w:r w:rsidR="00F26D0D" w:rsidRPr="00F26D0D">
        <w:rPr>
          <w:sz w:val="28"/>
          <w:szCs w:val="28"/>
        </w:rPr>
        <w:t>роки</w:t>
      </w:r>
      <w:r w:rsidR="00B330A6">
        <w:rPr>
          <w:sz w:val="28"/>
          <w:szCs w:val="28"/>
          <w:lang w:val="uk-UA"/>
        </w:rPr>
        <w:t>,</w:t>
      </w:r>
      <w:r w:rsidR="00F26D0D" w:rsidRPr="007124B5">
        <w:rPr>
          <w:rFonts w:ascii="Courier New" w:hAnsi="Courier New" w:cs="Courier New"/>
          <w:sz w:val="20"/>
          <w:szCs w:val="20"/>
        </w:rPr>
        <w:t xml:space="preserve"> </w:t>
      </w:r>
      <w:r w:rsidRPr="00BE18E4">
        <w:rPr>
          <w:sz w:val="28"/>
          <w:szCs w:val="28"/>
          <w:lang w:val="uk-UA"/>
        </w:rPr>
        <w:t xml:space="preserve">починаючи з дня закінчення заходів </w:t>
      </w:r>
      <w:r>
        <w:rPr>
          <w:sz w:val="28"/>
          <w:szCs w:val="28"/>
          <w:lang w:val="uk-UA"/>
        </w:rPr>
        <w:t>і</w:t>
      </w:r>
      <w:r w:rsidRPr="00BE18E4">
        <w:rPr>
          <w:sz w:val="28"/>
          <w:szCs w:val="28"/>
          <w:lang w:val="uk-UA"/>
        </w:rPr>
        <w:t>з повторного відстеження.</w:t>
      </w:r>
    </w:p>
    <w:p w:rsidR="00E365FE" w:rsidRDefault="00E365FE" w:rsidP="00CB29CD">
      <w:pPr>
        <w:ind w:firstLine="741"/>
        <w:jc w:val="both"/>
        <w:rPr>
          <w:sz w:val="28"/>
          <w:szCs w:val="28"/>
          <w:lang w:val="uk-UA"/>
        </w:rPr>
      </w:pPr>
      <w:r w:rsidRPr="00BE18E4">
        <w:rPr>
          <w:sz w:val="28"/>
          <w:szCs w:val="28"/>
          <w:lang w:val="uk-UA"/>
        </w:rPr>
        <w:t>Вид даних для базового</w:t>
      </w:r>
      <w:r w:rsidR="00352CA5">
        <w:rPr>
          <w:sz w:val="28"/>
          <w:szCs w:val="28"/>
          <w:lang w:val="uk-UA"/>
        </w:rPr>
        <w:t>,</w:t>
      </w:r>
      <w:r w:rsidRPr="00BE18E4">
        <w:rPr>
          <w:sz w:val="28"/>
          <w:szCs w:val="28"/>
          <w:lang w:val="uk-UA"/>
        </w:rPr>
        <w:t xml:space="preserve"> повторного та періодичного відстеження </w:t>
      </w:r>
      <w:r w:rsidR="009B34E7">
        <w:rPr>
          <w:sz w:val="28"/>
          <w:szCs w:val="28"/>
          <w:lang w:val="uk-UA"/>
        </w:rPr>
        <w:t>–</w:t>
      </w:r>
      <w:r w:rsidRPr="00BE18E4">
        <w:rPr>
          <w:sz w:val="28"/>
          <w:szCs w:val="28"/>
          <w:lang w:val="uk-UA"/>
        </w:rPr>
        <w:t xml:space="preserve"> статистичні дані </w:t>
      </w:r>
      <w:r>
        <w:rPr>
          <w:sz w:val="28"/>
          <w:szCs w:val="28"/>
          <w:lang w:val="uk-UA"/>
        </w:rPr>
        <w:t>пр</w:t>
      </w:r>
      <w:r w:rsidRPr="00BE18E4">
        <w:rPr>
          <w:sz w:val="28"/>
          <w:szCs w:val="28"/>
          <w:lang w:val="uk-UA"/>
        </w:rPr>
        <w:t xml:space="preserve">о </w:t>
      </w:r>
      <w:r w:rsidR="00352CA5">
        <w:rPr>
          <w:sz w:val="28"/>
          <w:szCs w:val="28"/>
          <w:lang w:val="uk-UA"/>
        </w:rPr>
        <w:t xml:space="preserve">рівень </w:t>
      </w:r>
      <w:r w:rsidRPr="00BE18E4">
        <w:rPr>
          <w:sz w:val="28"/>
          <w:szCs w:val="28"/>
          <w:lang w:val="uk-UA"/>
        </w:rPr>
        <w:t>як</w:t>
      </w:r>
      <w:r w:rsidR="00352CA5">
        <w:rPr>
          <w:sz w:val="28"/>
          <w:szCs w:val="28"/>
          <w:lang w:val="uk-UA"/>
        </w:rPr>
        <w:t>о</w:t>
      </w:r>
      <w:r w:rsidRPr="00BE18E4">
        <w:rPr>
          <w:sz w:val="28"/>
          <w:szCs w:val="28"/>
          <w:lang w:val="uk-UA"/>
        </w:rPr>
        <w:t>ст</w:t>
      </w:r>
      <w:r w:rsidR="00352CA5">
        <w:rPr>
          <w:sz w:val="28"/>
          <w:szCs w:val="28"/>
          <w:lang w:val="uk-UA"/>
        </w:rPr>
        <w:t>і</w:t>
      </w:r>
      <w:r w:rsidRPr="00BE18E4">
        <w:rPr>
          <w:sz w:val="28"/>
          <w:szCs w:val="28"/>
          <w:lang w:val="uk-UA"/>
        </w:rPr>
        <w:t xml:space="preserve"> послуг </w:t>
      </w:r>
      <w:r w:rsidR="00F26D0D">
        <w:rPr>
          <w:sz w:val="28"/>
          <w:szCs w:val="28"/>
          <w:lang w:val="uk-UA"/>
        </w:rPr>
        <w:t>рухомого (мобільного) зв’язку</w:t>
      </w:r>
      <w:r>
        <w:rPr>
          <w:sz w:val="28"/>
          <w:szCs w:val="28"/>
          <w:lang w:val="uk-UA"/>
        </w:rPr>
        <w:t xml:space="preserve">. </w:t>
      </w:r>
    </w:p>
    <w:p w:rsidR="0099132D" w:rsidRDefault="0099132D" w:rsidP="00CB29CD">
      <w:pPr>
        <w:ind w:firstLine="7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Відстеження буде проводитись шляхом використання статистичного методу одержання результатів.</w:t>
      </w:r>
    </w:p>
    <w:p w:rsidR="0099132D" w:rsidRDefault="0099132D" w:rsidP="00CB29CD">
      <w:pPr>
        <w:ind w:firstLine="741"/>
        <w:jc w:val="both"/>
        <w:rPr>
          <w:sz w:val="28"/>
          <w:szCs w:val="28"/>
          <w:lang w:val="uk-UA"/>
        </w:rPr>
      </w:pPr>
    </w:p>
    <w:p w:rsidR="0099132D" w:rsidRDefault="0099132D" w:rsidP="00CB29CD">
      <w:pPr>
        <w:ind w:firstLine="741"/>
        <w:jc w:val="both"/>
        <w:rPr>
          <w:sz w:val="28"/>
          <w:szCs w:val="28"/>
          <w:lang w:val="uk-UA"/>
        </w:rPr>
      </w:pPr>
    </w:p>
    <w:p w:rsidR="00976547" w:rsidRPr="001F1045" w:rsidRDefault="00976547" w:rsidP="009B34E7">
      <w:pPr>
        <w:tabs>
          <w:tab w:val="right" w:pos="9356"/>
        </w:tabs>
        <w:rPr>
          <w:sz w:val="28"/>
          <w:szCs w:val="28"/>
        </w:rPr>
      </w:pPr>
      <w:r w:rsidRPr="00422998">
        <w:rPr>
          <w:sz w:val="28"/>
          <w:szCs w:val="28"/>
        </w:rPr>
        <w:t>Голов</w:t>
      </w:r>
      <w:r w:rsidRPr="00422998">
        <w:rPr>
          <w:sz w:val="28"/>
          <w:szCs w:val="28"/>
          <w:lang w:val="uk-UA"/>
        </w:rPr>
        <w:t>а</w:t>
      </w:r>
      <w:r w:rsidR="009B34E7">
        <w:rPr>
          <w:sz w:val="28"/>
          <w:szCs w:val="28"/>
        </w:rPr>
        <w:t xml:space="preserve"> </w:t>
      </w:r>
      <w:r w:rsidR="009B34E7" w:rsidRPr="009D5CFD">
        <w:rPr>
          <w:sz w:val="28"/>
          <w:szCs w:val="28"/>
          <w:lang w:val="uk-UA"/>
        </w:rPr>
        <w:t>Державної</w:t>
      </w:r>
      <w:r w:rsidR="009B34E7">
        <w:rPr>
          <w:sz w:val="28"/>
          <w:szCs w:val="28"/>
        </w:rPr>
        <w:t xml:space="preserve"> </w:t>
      </w:r>
      <w:r w:rsidR="009B34E7" w:rsidRPr="009D5CFD">
        <w:rPr>
          <w:sz w:val="28"/>
          <w:szCs w:val="28"/>
          <w:lang w:val="uk-UA"/>
        </w:rPr>
        <w:t>служби</w:t>
      </w:r>
      <w:r w:rsidR="009B34E7">
        <w:rPr>
          <w:sz w:val="28"/>
          <w:szCs w:val="28"/>
        </w:rPr>
        <w:br/>
        <w:t>спеціального зв’язку та захисту</w:t>
      </w:r>
      <w:r w:rsidR="009B34E7">
        <w:rPr>
          <w:sz w:val="28"/>
          <w:szCs w:val="28"/>
        </w:rPr>
        <w:br/>
      </w:r>
      <w:r w:rsidRPr="009A082F">
        <w:rPr>
          <w:sz w:val="28"/>
          <w:szCs w:val="28"/>
          <w:lang w:val="uk-UA"/>
        </w:rPr>
        <w:t>інформації України</w:t>
      </w:r>
      <w:r>
        <w:rPr>
          <w:sz w:val="28"/>
          <w:szCs w:val="28"/>
          <w:lang w:val="uk-UA"/>
        </w:rPr>
        <w:tab/>
      </w:r>
      <w:r w:rsidR="00461012" w:rsidRPr="00461012">
        <w:rPr>
          <w:sz w:val="28"/>
          <w:szCs w:val="28"/>
        </w:rPr>
        <w:t>Юрій ЩИГОЛЬ</w:t>
      </w:r>
    </w:p>
    <w:p w:rsidR="006C0252" w:rsidRPr="00BE18E4" w:rsidRDefault="007F50A4" w:rsidP="00B54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_______________ 202</w:t>
      </w:r>
      <w:r w:rsidR="00EC0E4F">
        <w:rPr>
          <w:sz w:val="28"/>
          <w:szCs w:val="28"/>
          <w:lang w:val="uk-UA"/>
        </w:rPr>
        <w:t>1</w:t>
      </w:r>
      <w:r w:rsidR="00976547">
        <w:rPr>
          <w:sz w:val="28"/>
          <w:szCs w:val="28"/>
          <w:lang w:val="uk-UA"/>
        </w:rPr>
        <w:t xml:space="preserve"> р. </w:t>
      </w:r>
    </w:p>
    <w:sectPr w:rsidR="006C0252" w:rsidRPr="00BE18E4" w:rsidSect="00DA3BCE">
      <w:headerReference w:type="even" r:id="rId8"/>
      <w:headerReference w:type="default" r:id="rId9"/>
      <w:type w:val="continuous"/>
      <w:pgSz w:w="11906" w:h="16838"/>
      <w:pgMar w:top="993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511" w:rsidRDefault="00423511">
      <w:r>
        <w:separator/>
      </w:r>
    </w:p>
  </w:endnote>
  <w:endnote w:type="continuationSeparator" w:id="1">
    <w:p w:rsidR="00423511" w:rsidRDefault="0042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511" w:rsidRDefault="00423511">
      <w:r>
        <w:separator/>
      </w:r>
    </w:p>
  </w:footnote>
  <w:footnote w:type="continuationSeparator" w:id="1">
    <w:p w:rsidR="00423511" w:rsidRDefault="00423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E" w:rsidRDefault="00183A4E" w:rsidP="00B90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2E3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2E3E" w:rsidRDefault="00332E3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E3E" w:rsidRDefault="00183A4E" w:rsidP="00B90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32E3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3201B">
      <w:rPr>
        <w:rStyle w:val="a9"/>
        <w:noProof/>
      </w:rPr>
      <w:t>2</w:t>
    </w:r>
    <w:r>
      <w:rPr>
        <w:rStyle w:val="a9"/>
      </w:rPr>
      <w:fldChar w:fldCharType="end"/>
    </w:r>
  </w:p>
  <w:p w:rsidR="00332E3E" w:rsidRPr="008D7734" w:rsidRDefault="00332E3E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67539"/>
    <w:multiLevelType w:val="hybridMultilevel"/>
    <w:tmpl w:val="83B661FE"/>
    <w:lvl w:ilvl="0" w:tplc="B1B6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C35D5"/>
    <w:multiLevelType w:val="hybridMultilevel"/>
    <w:tmpl w:val="DBD07F04"/>
    <w:lvl w:ilvl="0" w:tplc="048024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6593043E"/>
    <w:multiLevelType w:val="hybridMultilevel"/>
    <w:tmpl w:val="DBD07F04"/>
    <w:lvl w:ilvl="0" w:tplc="048024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7F733BED"/>
    <w:multiLevelType w:val="hybridMultilevel"/>
    <w:tmpl w:val="497A5270"/>
    <w:lvl w:ilvl="0" w:tplc="04220013">
      <w:start w:val="1"/>
      <w:numFmt w:val="upperRoman"/>
      <w:lvlText w:val="%1."/>
      <w:lvlJc w:val="right"/>
      <w:pPr>
        <w:ind w:left="795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3F1"/>
    <w:rsid w:val="00000C89"/>
    <w:rsid w:val="000047C0"/>
    <w:rsid w:val="00005CFB"/>
    <w:rsid w:val="000072FA"/>
    <w:rsid w:val="0000780B"/>
    <w:rsid w:val="00010246"/>
    <w:rsid w:val="00010902"/>
    <w:rsid w:val="00010E04"/>
    <w:rsid w:val="0001123A"/>
    <w:rsid w:val="0001625C"/>
    <w:rsid w:val="00016C73"/>
    <w:rsid w:val="000179ED"/>
    <w:rsid w:val="00020806"/>
    <w:rsid w:val="00033150"/>
    <w:rsid w:val="00033764"/>
    <w:rsid w:val="00036766"/>
    <w:rsid w:val="00040254"/>
    <w:rsid w:val="0004029C"/>
    <w:rsid w:val="00040C5E"/>
    <w:rsid w:val="0004137A"/>
    <w:rsid w:val="00041A5D"/>
    <w:rsid w:val="00041EA6"/>
    <w:rsid w:val="00044A61"/>
    <w:rsid w:val="00044B2B"/>
    <w:rsid w:val="00044DDD"/>
    <w:rsid w:val="000467E0"/>
    <w:rsid w:val="00047542"/>
    <w:rsid w:val="00051505"/>
    <w:rsid w:val="00053D51"/>
    <w:rsid w:val="00054B4E"/>
    <w:rsid w:val="00061A13"/>
    <w:rsid w:val="000645F1"/>
    <w:rsid w:val="000648B2"/>
    <w:rsid w:val="000653D5"/>
    <w:rsid w:val="00065614"/>
    <w:rsid w:val="00066D98"/>
    <w:rsid w:val="000670E6"/>
    <w:rsid w:val="00071062"/>
    <w:rsid w:val="000736B7"/>
    <w:rsid w:val="00074B53"/>
    <w:rsid w:val="000765BF"/>
    <w:rsid w:val="00076914"/>
    <w:rsid w:val="00077785"/>
    <w:rsid w:val="000827F8"/>
    <w:rsid w:val="00083C95"/>
    <w:rsid w:val="00084588"/>
    <w:rsid w:val="00084EF2"/>
    <w:rsid w:val="00085025"/>
    <w:rsid w:val="0008694D"/>
    <w:rsid w:val="00090D36"/>
    <w:rsid w:val="00091F6F"/>
    <w:rsid w:val="000947CD"/>
    <w:rsid w:val="00096E8F"/>
    <w:rsid w:val="00096F3F"/>
    <w:rsid w:val="00097391"/>
    <w:rsid w:val="00097A0B"/>
    <w:rsid w:val="000A0257"/>
    <w:rsid w:val="000A08EE"/>
    <w:rsid w:val="000A217E"/>
    <w:rsid w:val="000A574C"/>
    <w:rsid w:val="000A63AB"/>
    <w:rsid w:val="000A63CC"/>
    <w:rsid w:val="000B01C7"/>
    <w:rsid w:val="000B240B"/>
    <w:rsid w:val="000B6568"/>
    <w:rsid w:val="000B6D70"/>
    <w:rsid w:val="000B73E5"/>
    <w:rsid w:val="000C1761"/>
    <w:rsid w:val="000C2772"/>
    <w:rsid w:val="000C38D5"/>
    <w:rsid w:val="000C4214"/>
    <w:rsid w:val="000C4D2F"/>
    <w:rsid w:val="000D2828"/>
    <w:rsid w:val="000D2EC2"/>
    <w:rsid w:val="000D3500"/>
    <w:rsid w:val="000D553F"/>
    <w:rsid w:val="000D58EF"/>
    <w:rsid w:val="000D69A1"/>
    <w:rsid w:val="000D7C83"/>
    <w:rsid w:val="000D7E86"/>
    <w:rsid w:val="000E1420"/>
    <w:rsid w:val="000E3FEF"/>
    <w:rsid w:val="000E4C0A"/>
    <w:rsid w:val="000E5259"/>
    <w:rsid w:val="000E5483"/>
    <w:rsid w:val="000E6A54"/>
    <w:rsid w:val="000E7097"/>
    <w:rsid w:val="000E715E"/>
    <w:rsid w:val="000F062D"/>
    <w:rsid w:val="000F0F2F"/>
    <w:rsid w:val="000F380D"/>
    <w:rsid w:val="00100C24"/>
    <w:rsid w:val="00101E2F"/>
    <w:rsid w:val="001024A0"/>
    <w:rsid w:val="001045B4"/>
    <w:rsid w:val="00110ECC"/>
    <w:rsid w:val="00112C29"/>
    <w:rsid w:val="00116F22"/>
    <w:rsid w:val="00120754"/>
    <w:rsid w:val="00120AE5"/>
    <w:rsid w:val="00123FA7"/>
    <w:rsid w:val="00125CEB"/>
    <w:rsid w:val="001300C3"/>
    <w:rsid w:val="0013048C"/>
    <w:rsid w:val="00130E01"/>
    <w:rsid w:val="00131084"/>
    <w:rsid w:val="001324E5"/>
    <w:rsid w:val="00133802"/>
    <w:rsid w:val="001353E2"/>
    <w:rsid w:val="001364A1"/>
    <w:rsid w:val="001367F7"/>
    <w:rsid w:val="00137CA2"/>
    <w:rsid w:val="00140A38"/>
    <w:rsid w:val="0014613D"/>
    <w:rsid w:val="001467AA"/>
    <w:rsid w:val="001470EF"/>
    <w:rsid w:val="00147BF6"/>
    <w:rsid w:val="00150DC5"/>
    <w:rsid w:val="00151216"/>
    <w:rsid w:val="001523AE"/>
    <w:rsid w:val="0015393B"/>
    <w:rsid w:val="00154565"/>
    <w:rsid w:val="001547BC"/>
    <w:rsid w:val="0015543E"/>
    <w:rsid w:val="00160571"/>
    <w:rsid w:val="001618ED"/>
    <w:rsid w:val="0016394D"/>
    <w:rsid w:val="00164E15"/>
    <w:rsid w:val="001656BA"/>
    <w:rsid w:val="001656CF"/>
    <w:rsid w:val="00165E20"/>
    <w:rsid w:val="0016644E"/>
    <w:rsid w:val="0016782F"/>
    <w:rsid w:val="0017027A"/>
    <w:rsid w:val="001730A4"/>
    <w:rsid w:val="00173545"/>
    <w:rsid w:val="001740BF"/>
    <w:rsid w:val="00177F90"/>
    <w:rsid w:val="00180188"/>
    <w:rsid w:val="00180A8F"/>
    <w:rsid w:val="00180B9F"/>
    <w:rsid w:val="001817F8"/>
    <w:rsid w:val="0018271E"/>
    <w:rsid w:val="00183A4E"/>
    <w:rsid w:val="00184631"/>
    <w:rsid w:val="0018693F"/>
    <w:rsid w:val="00186F46"/>
    <w:rsid w:val="00190684"/>
    <w:rsid w:val="0019095A"/>
    <w:rsid w:val="001915CB"/>
    <w:rsid w:val="00194EEC"/>
    <w:rsid w:val="00194FAC"/>
    <w:rsid w:val="001968CF"/>
    <w:rsid w:val="00197056"/>
    <w:rsid w:val="001A0415"/>
    <w:rsid w:val="001A0B3D"/>
    <w:rsid w:val="001A37A6"/>
    <w:rsid w:val="001A5A64"/>
    <w:rsid w:val="001A5A86"/>
    <w:rsid w:val="001A64F9"/>
    <w:rsid w:val="001A7740"/>
    <w:rsid w:val="001B1CB8"/>
    <w:rsid w:val="001B2AD1"/>
    <w:rsid w:val="001B3347"/>
    <w:rsid w:val="001B7CC5"/>
    <w:rsid w:val="001C0763"/>
    <w:rsid w:val="001C25AC"/>
    <w:rsid w:val="001C31C9"/>
    <w:rsid w:val="001C33FD"/>
    <w:rsid w:val="001C4B9E"/>
    <w:rsid w:val="001C6053"/>
    <w:rsid w:val="001C61A4"/>
    <w:rsid w:val="001C7C0B"/>
    <w:rsid w:val="001C7E61"/>
    <w:rsid w:val="001D08BD"/>
    <w:rsid w:val="001D1879"/>
    <w:rsid w:val="001D2104"/>
    <w:rsid w:val="001D2E4D"/>
    <w:rsid w:val="001D499C"/>
    <w:rsid w:val="001D603B"/>
    <w:rsid w:val="001E110A"/>
    <w:rsid w:val="001E2DA0"/>
    <w:rsid w:val="001E32A6"/>
    <w:rsid w:val="001E4003"/>
    <w:rsid w:val="001E5DD8"/>
    <w:rsid w:val="001E6BE3"/>
    <w:rsid w:val="001E772D"/>
    <w:rsid w:val="001F07CE"/>
    <w:rsid w:val="001F14A1"/>
    <w:rsid w:val="001F6DE7"/>
    <w:rsid w:val="002010BE"/>
    <w:rsid w:val="00201BF1"/>
    <w:rsid w:val="002038AB"/>
    <w:rsid w:val="00205B7A"/>
    <w:rsid w:val="002068BF"/>
    <w:rsid w:val="00207033"/>
    <w:rsid w:val="00212C09"/>
    <w:rsid w:val="00212D57"/>
    <w:rsid w:val="00213CB2"/>
    <w:rsid w:val="0021442C"/>
    <w:rsid w:val="00217D98"/>
    <w:rsid w:val="002221EC"/>
    <w:rsid w:val="00222405"/>
    <w:rsid w:val="0022508D"/>
    <w:rsid w:val="00236E7D"/>
    <w:rsid w:val="00236F49"/>
    <w:rsid w:val="00237E75"/>
    <w:rsid w:val="002429E6"/>
    <w:rsid w:val="002435B5"/>
    <w:rsid w:val="002442C2"/>
    <w:rsid w:val="00247A66"/>
    <w:rsid w:val="00250AB6"/>
    <w:rsid w:val="00252B11"/>
    <w:rsid w:val="00253FA5"/>
    <w:rsid w:val="00254D9D"/>
    <w:rsid w:val="00257EB5"/>
    <w:rsid w:val="00261566"/>
    <w:rsid w:val="002637D0"/>
    <w:rsid w:val="00263D80"/>
    <w:rsid w:val="00264AF6"/>
    <w:rsid w:val="00265876"/>
    <w:rsid w:val="00266DBF"/>
    <w:rsid w:val="00267B2B"/>
    <w:rsid w:val="0027122E"/>
    <w:rsid w:val="002713C1"/>
    <w:rsid w:val="00272423"/>
    <w:rsid w:val="002751CA"/>
    <w:rsid w:val="002825FC"/>
    <w:rsid w:val="00282A6C"/>
    <w:rsid w:val="00282E8B"/>
    <w:rsid w:val="0028614B"/>
    <w:rsid w:val="002873EF"/>
    <w:rsid w:val="0029052F"/>
    <w:rsid w:val="002916AC"/>
    <w:rsid w:val="00291BAC"/>
    <w:rsid w:val="00292765"/>
    <w:rsid w:val="002938E8"/>
    <w:rsid w:val="00293E58"/>
    <w:rsid w:val="002949DF"/>
    <w:rsid w:val="002967D1"/>
    <w:rsid w:val="00296949"/>
    <w:rsid w:val="00296BB1"/>
    <w:rsid w:val="00297D1F"/>
    <w:rsid w:val="002A3CB9"/>
    <w:rsid w:val="002A479D"/>
    <w:rsid w:val="002A4D7F"/>
    <w:rsid w:val="002A4F2F"/>
    <w:rsid w:val="002A5CDE"/>
    <w:rsid w:val="002A5DB1"/>
    <w:rsid w:val="002A6F3B"/>
    <w:rsid w:val="002A7CBB"/>
    <w:rsid w:val="002B0041"/>
    <w:rsid w:val="002B5E03"/>
    <w:rsid w:val="002C0945"/>
    <w:rsid w:val="002C0C6F"/>
    <w:rsid w:val="002C2250"/>
    <w:rsid w:val="002C400C"/>
    <w:rsid w:val="002C58DB"/>
    <w:rsid w:val="002C5AA1"/>
    <w:rsid w:val="002C67A9"/>
    <w:rsid w:val="002D4535"/>
    <w:rsid w:val="002D5FD6"/>
    <w:rsid w:val="002D68C6"/>
    <w:rsid w:val="002D6903"/>
    <w:rsid w:val="002D7475"/>
    <w:rsid w:val="002D7AF3"/>
    <w:rsid w:val="002E24A1"/>
    <w:rsid w:val="002E344D"/>
    <w:rsid w:val="002E4008"/>
    <w:rsid w:val="002E5CD0"/>
    <w:rsid w:val="002E5D6F"/>
    <w:rsid w:val="002E63F1"/>
    <w:rsid w:val="002E676A"/>
    <w:rsid w:val="002E68C3"/>
    <w:rsid w:val="002E7227"/>
    <w:rsid w:val="002F020A"/>
    <w:rsid w:val="002F1534"/>
    <w:rsid w:val="002F1CE5"/>
    <w:rsid w:val="002F2E59"/>
    <w:rsid w:val="002F3B04"/>
    <w:rsid w:val="002F41BE"/>
    <w:rsid w:val="002F5D72"/>
    <w:rsid w:val="002F697E"/>
    <w:rsid w:val="002F70AF"/>
    <w:rsid w:val="003117E7"/>
    <w:rsid w:val="00315463"/>
    <w:rsid w:val="00315F6E"/>
    <w:rsid w:val="0031644B"/>
    <w:rsid w:val="00317985"/>
    <w:rsid w:val="003212DF"/>
    <w:rsid w:val="00322138"/>
    <w:rsid w:val="00322693"/>
    <w:rsid w:val="00323BE7"/>
    <w:rsid w:val="00330418"/>
    <w:rsid w:val="00330725"/>
    <w:rsid w:val="00330FC3"/>
    <w:rsid w:val="00332E3E"/>
    <w:rsid w:val="00333B3B"/>
    <w:rsid w:val="00337B31"/>
    <w:rsid w:val="003409B0"/>
    <w:rsid w:val="003417CE"/>
    <w:rsid w:val="003430E3"/>
    <w:rsid w:val="00344B9C"/>
    <w:rsid w:val="00346F23"/>
    <w:rsid w:val="00351594"/>
    <w:rsid w:val="00351895"/>
    <w:rsid w:val="00351E66"/>
    <w:rsid w:val="00352CA5"/>
    <w:rsid w:val="00353726"/>
    <w:rsid w:val="003560D2"/>
    <w:rsid w:val="00357242"/>
    <w:rsid w:val="003619EF"/>
    <w:rsid w:val="00362086"/>
    <w:rsid w:val="00363840"/>
    <w:rsid w:val="00372902"/>
    <w:rsid w:val="00372CDB"/>
    <w:rsid w:val="003749AA"/>
    <w:rsid w:val="003756AB"/>
    <w:rsid w:val="00376044"/>
    <w:rsid w:val="00376683"/>
    <w:rsid w:val="00382C7C"/>
    <w:rsid w:val="00384A1C"/>
    <w:rsid w:val="00387AB8"/>
    <w:rsid w:val="00390C7E"/>
    <w:rsid w:val="00390D5C"/>
    <w:rsid w:val="003911F4"/>
    <w:rsid w:val="0039160A"/>
    <w:rsid w:val="00391A6D"/>
    <w:rsid w:val="003937A4"/>
    <w:rsid w:val="00397118"/>
    <w:rsid w:val="003A1E0E"/>
    <w:rsid w:val="003A24F9"/>
    <w:rsid w:val="003A3641"/>
    <w:rsid w:val="003A3A0A"/>
    <w:rsid w:val="003A4EF7"/>
    <w:rsid w:val="003A6211"/>
    <w:rsid w:val="003A77B2"/>
    <w:rsid w:val="003B0275"/>
    <w:rsid w:val="003B0479"/>
    <w:rsid w:val="003B1354"/>
    <w:rsid w:val="003B17DA"/>
    <w:rsid w:val="003B19E5"/>
    <w:rsid w:val="003B4D81"/>
    <w:rsid w:val="003C7198"/>
    <w:rsid w:val="003C797C"/>
    <w:rsid w:val="003D0453"/>
    <w:rsid w:val="003D1DA3"/>
    <w:rsid w:val="003D26CE"/>
    <w:rsid w:val="003D30D0"/>
    <w:rsid w:val="003D3CDA"/>
    <w:rsid w:val="003D55A2"/>
    <w:rsid w:val="003D5EB4"/>
    <w:rsid w:val="003D6E96"/>
    <w:rsid w:val="003D78DA"/>
    <w:rsid w:val="003E1D8D"/>
    <w:rsid w:val="003E20C0"/>
    <w:rsid w:val="003E3C96"/>
    <w:rsid w:val="003E3FBA"/>
    <w:rsid w:val="003E50EF"/>
    <w:rsid w:val="003E6656"/>
    <w:rsid w:val="003F09AA"/>
    <w:rsid w:val="003F0FE9"/>
    <w:rsid w:val="003F31E7"/>
    <w:rsid w:val="003F3792"/>
    <w:rsid w:val="003F379E"/>
    <w:rsid w:val="003F41E5"/>
    <w:rsid w:val="003F4468"/>
    <w:rsid w:val="003F5E52"/>
    <w:rsid w:val="00402E47"/>
    <w:rsid w:val="0040357E"/>
    <w:rsid w:val="00406237"/>
    <w:rsid w:val="00411DC0"/>
    <w:rsid w:val="00413832"/>
    <w:rsid w:val="00413C54"/>
    <w:rsid w:val="00414DA6"/>
    <w:rsid w:val="00417578"/>
    <w:rsid w:val="00417A7F"/>
    <w:rsid w:val="00420434"/>
    <w:rsid w:val="004206E7"/>
    <w:rsid w:val="004211DE"/>
    <w:rsid w:val="00422882"/>
    <w:rsid w:val="004228F7"/>
    <w:rsid w:val="00422998"/>
    <w:rsid w:val="00423511"/>
    <w:rsid w:val="00425246"/>
    <w:rsid w:val="00426C08"/>
    <w:rsid w:val="00430BB4"/>
    <w:rsid w:val="00431CA6"/>
    <w:rsid w:val="00432F10"/>
    <w:rsid w:val="00433338"/>
    <w:rsid w:val="00434CD3"/>
    <w:rsid w:val="00435E59"/>
    <w:rsid w:val="0043613F"/>
    <w:rsid w:val="004372C4"/>
    <w:rsid w:val="00441168"/>
    <w:rsid w:val="004413BA"/>
    <w:rsid w:val="00442CB2"/>
    <w:rsid w:val="00442DE6"/>
    <w:rsid w:val="004430EC"/>
    <w:rsid w:val="00444BBD"/>
    <w:rsid w:val="00445692"/>
    <w:rsid w:val="00451643"/>
    <w:rsid w:val="00453E11"/>
    <w:rsid w:val="00454478"/>
    <w:rsid w:val="00457D60"/>
    <w:rsid w:val="004600AA"/>
    <w:rsid w:val="00461012"/>
    <w:rsid w:val="00467276"/>
    <w:rsid w:val="004673F1"/>
    <w:rsid w:val="00470806"/>
    <w:rsid w:val="004713C0"/>
    <w:rsid w:val="00472AF2"/>
    <w:rsid w:val="00473A3B"/>
    <w:rsid w:val="004747E0"/>
    <w:rsid w:val="00475269"/>
    <w:rsid w:val="00477CAE"/>
    <w:rsid w:val="004804EC"/>
    <w:rsid w:val="00480880"/>
    <w:rsid w:val="00480D5A"/>
    <w:rsid w:val="00481E3E"/>
    <w:rsid w:val="00482651"/>
    <w:rsid w:val="00482F78"/>
    <w:rsid w:val="004839D2"/>
    <w:rsid w:val="004847AD"/>
    <w:rsid w:val="004857A1"/>
    <w:rsid w:val="0048581E"/>
    <w:rsid w:val="00487504"/>
    <w:rsid w:val="00495B49"/>
    <w:rsid w:val="00495CA0"/>
    <w:rsid w:val="00496F3E"/>
    <w:rsid w:val="004A17E4"/>
    <w:rsid w:val="004A3BBB"/>
    <w:rsid w:val="004A42DE"/>
    <w:rsid w:val="004A5538"/>
    <w:rsid w:val="004B1CD7"/>
    <w:rsid w:val="004B22AE"/>
    <w:rsid w:val="004B3789"/>
    <w:rsid w:val="004B587F"/>
    <w:rsid w:val="004B6E11"/>
    <w:rsid w:val="004C034F"/>
    <w:rsid w:val="004C440A"/>
    <w:rsid w:val="004C53C1"/>
    <w:rsid w:val="004C563D"/>
    <w:rsid w:val="004D677A"/>
    <w:rsid w:val="004D746B"/>
    <w:rsid w:val="004E1C56"/>
    <w:rsid w:val="004E211A"/>
    <w:rsid w:val="004E2736"/>
    <w:rsid w:val="004E55D6"/>
    <w:rsid w:val="004E7C8A"/>
    <w:rsid w:val="004F0941"/>
    <w:rsid w:val="004F1675"/>
    <w:rsid w:val="004F1DCF"/>
    <w:rsid w:val="004F29D6"/>
    <w:rsid w:val="004F7F88"/>
    <w:rsid w:val="00500BC0"/>
    <w:rsid w:val="0050366F"/>
    <w:rsid w:val="00503F34"/>
    <w:rsid w:val="005063AE"/>
    <w:rsid w:val="00511475"/>
    <w:rsid w:val="0051184D"/>
    <w:rsid w:val="00512793"/>
    <w:rsid w:val="00513BC0"/>
    <w:rsid w:val="00515E1D"/>
    <w:rsid w:val="005179BA"/>
    <w:rsid w:val="00524382"/>
    <w:rsid w:val="005258E0"/>
    <w:rsid w:val="00525A28"/>
    <w:rsid w:val="00526476"/>
    <w:rsid w:val="00527CB9"/>
    <w:rsid w:val="00531FBF"/>
    <w:rsid w:val="005326AC"/>
    <w:rsid w:val="00532804"/>
    <w:rsid w:val="00534236"/>
    <w:rsid w:val="00537A86"/>
    <w:rsid w:val="00540B4C"/>
    <w:rsid w:val="005413CF"/>
    <w:rsid w:val="00541440"/>
    <w:rsid w:val="00541C2C"/>
    <w:rsid w:val="00543415"/>
    <w:rsid w:val="005451FF"/>
    <w:rsid w:val="00545C37"/>
    <w:rsid w:val="0055096D"/>
    <w:rsid w:val="00552762"/>
    <w:rsid w:val="00553288"/>
    <w:rsid w:val="00554636"/>
    <w:rsid w:val="00555333"/>
    <w:rsid w:val="00557B3F"/>
    <w:rsid w:val="00564ABC"/>
    <w:rsid w:val="005655B7"/>
    <w:rsid w:val="00566906"/>
    <w:rsid w:val="00566F9C"/>
    <w:rsid w:val="00567293"/>
    <w:rsid w:val="00571885"/>
    <w:rsid w:val="00573233"/>
    <w:rsid w:val="00573683"/>
    <w:rsid w:val="00574532"/>
    <w:rsid w:val="0058254B"/>
    <w:rsid w:val="00583DAC"/>
    <w:rsid w:val="005876DB"/>
    <w:rsid w:val="00590580"/>
    <w:rsid w:val="00591566"/>
    <w:rsid w:val="005922A6"/>
    <w:rsid w:val="0059254D"/>
    <w:rsid w:val="00592BC6"/>
    <w:rsid w:val="00594916"/>
    <w:rsid w:val="0059591B"/>
    <w:rsid w:val="005968A2"/>
    <w:rsid w:val="0059790B"/>
    <w:rsid w:val="005A3C87"/>
    <w:rsid w:val="005A4BF1"/>
    <w:rsid w:val="005A5BC7"/>
    <w:rsid w:val="005B0D0C"/>
    <w:rsid w:val="005B216F"/>
    <w:rsid w:val="005B398C"/>
    <w:rsid w:val="005B3F96"/>
    <w:rsid w:val="005B485E"/>
    <w:rsid w:val="005B4DB8"/>
    <w:rsid w:val="005B7787"/>
    <w:rsid w:val="005C0DFD"/>
    <w:rsid w:val="005C4FCA"/>
    <w:rsid w:val="005C5309"/>
    <w:rsid w:val="005C647B"/>
    <w:rsid w:val="005C76FE"/>
    <w:rsid w:val="005D0CA9"/>
    <w:rsid w:val="005D1DB6"/>
    <w:rsid w:val="005D1FB5"/>
    <w:rsid w:val="005D24AC"/>
    <w:rsid w:val="005D42F2"/>
    <w:rsid w:val="005D4B36"/>
    <w:rsid w:val="005D5C40"/>
    <w:rsid w:val="005E2851"/>
    <w:rsid w:val="005E32E9"/>
    <w:rsid w:val="005E51F9"/>
    <w:rsid w:val="005E589A"/>
    <w:rsid w:val="005E5A5B"/>
    <w:rsid w:val="005E6810"/>
    <w:rsid w:val="005E7492"/>
    <w:rsid w:val="005F06EF"/>
    <w:rsid w:val="005F3A48"/>
    <w:rsid w:val="005F590F"/>
    <w:rsid w:val="005F6CD6"/>
    <w:rsid w:val="00600E16"/>
    <w:rsid w:val="006026C5"/>
    <w:rsid w:val="00607A3A"/>
    <w:rsid w:val="00607E9B"/>
    <w:rsid w:val="00614F10"/>
    <w:rsid w:val="00615139"/>
    <w:rsid w:val="006167B5"/>
    <w:rsid w:val="0062163A"/>
    <w:rsid w:val="0062191F"/>
    <w:rsid w:val="006247FC"/>
    <w:rsid w:val="006254C3"/>
    <w:rsid w:val="00625B04"/>
    <w:rsid w:val="00625E52"/>
    <w:rsid w:val="00626AD2"/>
    <w:rsid w:val="006301C8"/>
    <w:rsid w:val="00630A02"/>
    <w:rsid w:val="00630ABA"/>
    <w:rsid w:val="006353E2"/>
    <w:rsid w:val="00637429"/>
    <w:rsid w:val="006427AC"/>
    <w:rsid w:val="00642F1D"/>
    <w:rsid w:val="006462DE"/>
    <w:rsid w:val="00646C12"/>
    <w:rsid w:val="0064758C"/>
    <w:rsid w:val="00647861"/>
    <w:rsid w:val="00653C19"/>
    <w:rsid w:val="00654DC0"/>
    <w:rsid w:val="00656622"/>
    <w:rsid w:val="006567AB"/>
    <w:rsid w:val="00657A98"/>
    <w:rsid w:val="006655E7"/>
    <w:rsid w:val="006656D4"/>
    <w:rsid w:val="0067061E"/>
    <w:rsid w:val="006709EC"/>
    <w:rsid w:val="00671C6E"/>
    <w:rsid w:val="00673AC7"/>
    <w:rsid w:val="006747EF"/>
    <w:rsid w:val="0067797F"/>
    <w:rsid w:val="00677CA7"/>
    <w:rsid w:val="00680973"/>
    <w:rsid w:val="00681FAD"/>
    <w:rsid w:val="00682A55"/>
    <w:rsid w:val="00682ED0"/>
    <w:rsid w:val="006830F8"/>
    <w:rsid w:val="00686E4C"/>
    <w:rsid w:val="0068769B"/>
    <w:rsid w:val="00687ADC"/>
    <w:rsid w:val="006901C7"/>
    <w:rsid w:val="00690525"/>
    <w:rsid w:val="00692FEA"/>
    <w:rsid w:val="006930FA"/>
    <w:rsid w:val="00694123"/>
    <w:rsid w:val="00697B45"/>
    <w:rsid w:val="006A047B"/>
    <w:rsid w:val="006A0C4E"/>
    <w:rsid w:val="006A396D"/>
    <w:rsid w:val="006A3B55"/>
    <w:rsid w:val="006A6CE5"/>
    <w:rsid w:val="006B1A1E"/>
    <w:rsid w:val="006B26CD"/>
    <w:rsid w:val="006B357B"/>
    <w:rsid w:val="006B3E93"/>
    <w:rsid w:val="006B4CA2"/>
    <w:rsid w:val="006B4F4B"/>
    <w:rsid w:val="006C0252"/>
    <w:rsid w:val="006C1F8B"/>
    <w:rsid w:val="006C2EAA"/>
    <w:rsid w:val="006C31B4"/>
    <w:rsid w:val="006C4E50"/>
    <w:rsid w:val="006C6FE8"/>
    <w:rsid w:val="006C7B76"/>
    <w:rsid w:val="006D032B"/>
    <w:rsid w:val="006D1333"/>
    <w:rsid w:val="006D5453"/>
    <w:rsid w:val="006D5602"/>
    <w:rsid w:val="006D5815"/>
    <w:rsid w:val="006D6FB8"/>
    <w:rsid w:val="006E1039"/>
    <w:rsid w:val="006E27D5"/>
    <w:rsid w:val="006E31C9"/>
    <w:rsid w:val="006E3BAC"/>
    <w:rsid w:val="006E4F31"/>
    <w:rsid w:val="006E6F52"/>
    <w:rsid w:val="006F10EA"/>
    <w:rsid w:val="006F15A7"/>
    <w:rsid w:val="006F1B86"/>
    <w:rsid w:val="006F368D"/>
    <w:rsid w:val="006F3846"/>
    <w:rsid w:val="0070178D"/>
    <w:rsid w:val="0070329A"/>
    <w:rsid w:val="00703861"/>
    <w:rsid w:val="00703A5D"/>
    <w:rsid w:val="007053D1"/>
    <w:rsid w:val="00706E11"/>
    <w:rsid w:val="00707E5A"/>
    <w:rsid w:val="00711470"/>
    <w:rsid w:val="00714CD5"/>
    <w:rsid w:val="0071763A"/>
    <w:rsid w:val="00717946"/>
    <w:rsid w:val="00720468"/>
    <w:rsid w:val="00721210"/>
    <w:rsid w:val="00723D06"/>
    <w:rsid w:val="00723FDE"/>
    <w:rsid w:val="007269FE"/>
    <w:rsid w:val="00733BE2"/>
    <w:rsid w:val="00733F54"/>
    <w:rsid w:val="00733F6E"/>
    <w:rsid w:val="00736789"/>
    <w:rsid w:val="0073689A"/>
    <w:rsid w:val="00740512"/>
    <w:rsid w:val="007424AE"/>
    <w:rsid w:val="007424F2"/>
    <w:rsid w:val="00750B96"/>
    <w:rsid w:val="00750D6F"/>
    <w:rsid w:val="00750FE3"/>
    <w:rsid w:val="00752948"/>
    <w:rsid w:val="00755F7A"/>
    <w:rsid w:val="007561AE"/>
    <w:rsid w:val="00760481"/>
    <w:rsid w:val="00762073"/>
    <w:rsid w:val="007627EC"/>
    <w:rsid w:val="00765856"/>
    <w:rsid w:val="00766C7F"/>
    <w:rsid w:val="00766C98"/>
    <w:rsid w:val="00770F88"/>
    <w:rsid w:val="00772173"/>
    <w:rsid w:val="007765DC"/>
    <w:rsid w:val="007776F5"/>
    <w:rsid w:val="00777FD9"/>
    <w:rsid w:val="0078166F"/>
    <w:rsid w:val="007819BB"/>
    <w:rsid w:val="007828BB"/>
    <w:rsid w:val="007856D1"/>
    <w:rsid w:val="007858AE"/>
    <w:rsid w:val="0078767E"/>
    <w:rsid w:val="007912C9"/>
    <w:rsid w:val="00792426"/>
    <w:rsid w:val="00792964"/>
    <w:rsid w:val="00792C1A"/>
    <w:rsid w:val="007950CB"/>
    <w:rsid w:val="00796E67"/>
    <w:rsid w:val="00797C53"/>
    <w:rsid w:val="007A0AE8"/>
    <w:rsid w:val="007A0CBD"/>
    <w:rsid w:val="007A0EE5"/>
    <w:rsid w:val="007A287E"/>
    <w:rsid w:val="007A2A90"/>
    <w:rsid w:val="007A385D"/>
    <w:rsid w:val="007A3A85"/>
    <w:rsid w:val="007A3EE9"/>
    <w:rsid w:val="007A47D6"/>
    <w:rsid w:val="007A4E2C"/>
    <w:rsid w:val="007B1C0A"/>
    <w:rsid w:val="007B1DEF"/>
    <w:rsid w:val="007B2402"/>
    <w:rsid w:val="007B2A1F"/>
    <w:rsid w:val="007B535D"/>
    <w:rsid w:val="007B5D63"/>
    <w:rsid w:val="007B7277"/>
    <w:rsid w:val="007C1A22"/>
    <w:rsid w:val="007C4FD8"/>
    <w:rsid w:val="007C52E5"/>
    <w:rsid w:val="007C688B"/>
    <w:rsid w:val="007C6B42"/>
    <w:rsid w:val="007C7434"/>
    <w:rsid w:val="007C7BD6"/>
    <w:rsid w:val="007D0F1D"/>
    <w:rsid w:val="007D117D"/>
    <w:rsid w:val="007D1D7A"/>
    <w:rsid w:val="007D30BF"/>
    <w:rsid w:val="007D371F"/>
    <w:rsid w:val="007D5BA0"/>
    <w:rsid w:val="007E02D3"/>
    <w:rsid w:val="007E1202"/>
    <w:rsid w:val="007E2FCB"/>
    <w:rsid w:val="007E49A4"/>
    <w:rsid w:val="007E5857"/>
    <w:rsid w:val="007E595B"/>
    <w:rsid w:val="007F0B1F"/>
    <w:rsid w:val="007F0C1E"/>
    <w:rsid w:val="007F10AE"/>
    <w:rsid w:val="007F2122"/>
    <w:rsid w:val="007F50A4"/>
    <w:rsid w:val="008045A3"/>
    <w:rsid w:val="0080618A"/>
    <w:rsid w:val="00811102"/>
    <w:rsid w:val="00811490"/>
    <w:rsid w:val="0081379C"/>
    <w:rsid w:val="00813AA2"/>
    <w:rsid w:val="00814115"/>
    <w:rsid w:val="008145BB"/>
    <w:rsid w:val="00815289"/>
    <w:rsid w:val="008169CD"/>
    <w:rsid w:val="00816B12"/>
    <w:rsid w:val="00820632"/>
    <w:rsid w:val="00820ED6"/>
    <w:rsid w:val="00822E14"/>
    <w:rsid w:val="00823EB0"/>
    <w:rsid w:val="008313D5"/>
    <w:rsid w:val="008314B2"/>
    <w:rsid w:val="00831F85"/>
    <w:rsid w:val="00832481"/>
    <w:rsid w:val="00833E7F"/>
    <w:rsid w:val="008356CE"/>
    <w:rsid w:val="0084557C"/>
    <w:rsid w:val="008472BC"/>
    <w:rsid w:val="00847E19"/>
    <w:rsid w:val="008543E3"/>
    <w:rsid w:val="00856632"/>
    <w:rsid w:val="00863202"/>
    <w:rsid w:val="00864B4D"/>
    <w:rsid w:val="00867C13"/>
    <w:rsid w:val="00871C94"/>
    <w:rsid w:val="00873175"/>
    <w:rsid w:val="00880DDE"/>
    <w:rsid w:val="008812A8"/>
    <w:rsid w:val="00881862"/>
    <w:rsid w:val="00881E32"/>
    <w:rsid w:val="00883923"/>
    <w:rsid w:val="00883A8B"/>
    <w:rsid w:val="00884089"/>
    <w:rsid w:val="00884B0E"/>
    <w:rsid w:val="00886901"/>
    <w:rsid w:val="0089072E"/>
    <w:rsid w:val="008938A5"/>
    <w:rsid w:val="008A06DB"/>
    <w:rsid w:val="008A5A24"/>
    <w:rsid w:val="008A664F"/>
    <w:rsid w:val="008A6FFC"/>
    <w:rsid w:val="008B0262"/>
    <w:rsid w:val="008B0303"/>
    <w:rsid w:val="008B0595"/>
    <w:rsid w:val="008B0819"/>
    <w:rsid w:val="008B1182"/>
    <w:rsid w:val="008B2EF0"/>
    <w:rsid w:val="008B3D55"/>
    <w:rsid w:val="008B42F2"/>
    <w:rsid w:val="008B5AC3"/>
    <w:rsid w:val="008C07DC"/>
    <w:rsid w:val="008C1BAE"/>
    <w:rsid w:val="008C38D9"/>
    <w:rsid w:val="008C72EC"/>
    <w:rsid w:val="008D1BD4"/>
    <w:rsid w:val="008D2F46"/>
    <w:rsid w:val="008D48C5"/>
    <w:rsid w:val="008D7734"/>
    <w:rsid w:val="008E1517"/>
    <w:rsid w:val="008E1CB0"/>
    <w:rsid w:val="008E20F4"/>
    <w:rsid w:val="008E33C5"/>
    <w:rsid w:val="008E4780"/>
    <w:rsid w:val="008F0852"/>
    <w:rsid w:val="008F40FF"/>
    <w:rsid w:val="008F54F4"/>
    <w:rsid w:val="008F6C8E"/>
    <w:rsid w:val="008F75DC"/>
    <w:rsid w:val="008F7A90"/>
    <w:rsid w:val="00900504"/>
    <w:rsid w:val="00900935"/>
    <w:rsid w:val="00900B27"/>
    <w:rsid w:val="00900BFC"/>
    <w:rsid w:val="009018FC"/>
    <w:rsid w:val="009054D3"/>
    <w:rsid w:val="00906752"/>
    <w:rsid w:val="0091202D"/>
    <w:rsid w:val="00914271"/>
    <w:rsid w:val="00914634"/>
    <w:rsid w:val="00916301"/>
    <w:rsid w:val="009220C8"/>
    <w:rsid w:val="00924100"/>
    <w:rsid w:val="009261ED"/>
    <w:rsid w:val="00927B03"/>
    <w:rsid w:val="009308CC"/>
    <w:rsid w:val="00932F5C"/>
    <w:rsid w:val="00933AAD"/>
    <w:rsid w:val="0093419B"/>
    <w:rsid w:val="00934BE2"/>
    <w:rsid w:val="00935068"/>
    <w:rsid w:val="00936766"/>
    <w:rsid w:val="0094100B"/>
    <w:rsid w:val="009417AA"/>
    <w:rsid w:val="00941BB5"/>
    <w:rsid w:val="0094225F"/>
    <w:rsid w:val="0094467F"/>
    <w:rsid w:val="00944E9F"/>
    <w:rsid w:val="00946771"/>
    <w:rsid w:val="00947B65"/>
    <w:rsid w:val="00947F0E"/>
    <w:rsid w:val="009537D9"/>
    <w:rsid w:val="00954C7F"/>
    <w:rsid w:val="0095683A"/>
    <w:rsid w:val="009568ED"/>
    <w:rsid w:val="00956F5E"/>
    <w:rsid w:val="00961457"/>
    <w:rsid w:val="009656D7"/>
    <w:rsid w:val="00970D37"/>
    <w:rsid w:val="00971084"/>
    <w:rsid w:val="00971392"/>
    <w:rsid w:val="0097337E"/>
    <w:rsid w:val="0097493B"/>
    <w:rsid w:val="00974D64"/>
    <w:rsid w:val="00975064"/>
    <w:rsid w:val="00976547"/>
    <w:rsid w:val="00977FE3"/>
    <w:rsid w:val="009843E8"/>
    <w:rsid w:val="00984811"/>
    <w:rsid w:val="00991328"/>
    <w:rsid w:val="0099132D"/>
    <w:rsid w:val="00994E47"/>
    <w:rsid w:val="0099707A"/>
    <w:rsid w:val="009A0D4B"/>
    <w:rsid w:val="009A3B22"/>
    <w:rsid w:val="009A5439"/>
    <w:rsid w:val="009A57D1"/>
    <w:rsid w:val="009A658B"/>
    <w:rsid w:val="009B2438"/>
    <w:rsid w:val="009B2A84"/>
    <w:rsid w:val="009B34E7"/>
    <w:rsid w:val="009B443F"/>
    <w:rsid w:val="009B7D07"/>
    <w:rsid w:val="009C0D9C"/>
    <w:rsid w:val="009C17FA"/>
    <w:rsid w:val="009C1ACC"/>
    <w:rsid w:val="009C4234"/>
    <w:rsid w:val="009C7361"/>
    <w:rsid w:val="009C7D9A"/>
    <w:rsid w:val="009D3B5B"/>
    <w:rsid w:val="009D542B"/>
    <w:rsid w:val="009D5CFD"/>
    <w:rsid w:val="009D5E60"/>
    <w:rsid w:val="009D73EA"/>
    <w:rsid w:val="009E0386"/>
    <w:rsid w:val="009E3D95"/>
    <w:rsid w:val="009E443D"/>
    <w:rsid w:val="009E4E1A"/>
    <w:rsid w:val="009E754A"/>
    <w:rsid w:val="009F00CE"/>
    <w:rsid w:val="009F0DFE"/>
    <w:rsid w:val="009F24A7"/>
    <w:rsid w:val="009F2F2A"/>
    <w:rsid w:val="009F38CE"/>
    <w:rsid w:val="009F7A77"/>
    <w:rsid w:val="00A0043E"/>
    <w:rsid w:val="00A01BBC"/>
    <w:rsid w:val="00A03E1E"/>
    <w:rsid w:val="00A05707"/>
    <w:rsid w:val="00A060EE"/>
    <w:rsid w:val="00A12880"/>
    <w:rsid w:val="00A133CA"/>
    <w:rsid w:val="00A13799"/>
    <w:rsid w:val="00A14359"/>
    <w:rsid w:val="00A14916"/>
    <w:rsid w:val="00A211B8"/>
    <w:rsid w:val="00A2273D"/>
    <w:rsid w:val="00A240B4"/>
    <w:rsid w:val="00A2606C"/>
    <w:rsid w:val="00A2656F"/>
    <w:rsid w:val="00A26A3C"/>
    <w:rsid w:val="00A3020A"/>
    <w:rsid w:val="00A32455"/>
    <w:rsid w:val="00A32470"/>
    <w:rsid w:val="00A346DC"/>
    <w:rsid w:val="00A3756B"/>
    <w:rsid w:val="00A408FB"/>
    <w:rsid w:val="00A40FDB"/>
    <w:rsid w:val="00A41344"/>
    <w:rsid w:val="00A4266A"/>
    <w:rsid w:val="00A43E49"/>
    <w:rsid w:val="00A45930"/>
    <w:rsid w:val="00A47BA6"/>
    <w:rsid w:val="00A50DC6"/>
    <w:rsid w:val="00A5276B"/>
    <w:rsid w:val="00A54665"/>
    <w:rsid w:val="00A557F2"/>
    <w:rsid w:val="00A56BF2"/>
    <w:rsid w:val="00A60AFE"/>
    <w:rsid w:val="00A62931"/>
    <w:rsid w:val="00A636CB"/>
    <w:rsid w:val="00A64E03"/>
    <w:rsid w:val="00A6595E"/>
    <w:rsid w:val="00A67030"/>
    <w:rsid w:val="00A67354"/>
    <w:rsid w:val="00A67CA0"/>
    <w:rsid w:val="00A70FA3"/>
    <w:rsid w:val="00A710A4"/>
    <w:rsid w:val="00A71611"/>
    <w:rsid w:val="00A7298B"/>
    <w:rsid w:val="00A74804"/>
    <w:rsid w:val="00A74AD9"/>
    <w:rsid w:val="00A74D56"/>
    <w:rsid w:val="00A76032"/>
    <w:rsid w:val="00A77556"/>
    <w:rsid w:val="00A80B25"/>
    <w:rsid w:val="00A810FA"/>
    <w:rsid w:val="00A83939"/>
    <w:rsid w:val="00A846CF"/>
    <w:rsid w:val="00A8537B"/>
    <w:rsid w:val="00A8588A"/>
    <w:rsid w:val="00A91DBE"/>
    <w:rsid w:val="00A92A55"/>
    <w:rsid w:val="00A95AD5"/>
    <w:rsid w:val="00A96FDB"/>
    <w:rsid w:val="00AA0A77"/>
    <w:rsid w:val="00AA4C24"/>
    <w:rsid w:val="00AA510D"/>
    <w:rsid w:val="00AA589E"/>
    <w:rsid w:val="00AA71BF"/>
    <w:rsid w:val="00AB6AF9"/>
    <w:rsid w:val="00AC090A"/>
    <w:rsid w:val="00AC19C5"/>
    <w:rsid w:val="00AC4B5C"/>
    <w:rsid w:val="00AC6B94"/>
    <w:rsid w:val="00AC718C"/>
    <w:rsid w:val="00AC7E2F"/>
    <w:rsid w:val="00AD1219"/>
    <w:rsid w:val="00AD1C23"/>
    <w:rsid w:val="00AD3410"/>
    <w:rsid w:val="00AD48CD"/>
    <w:rsid w:val="00AD58FD"/>
    <w:rsid w:val="00AD62C6"/>
    <w:rsid w:val="00AE057C"/>
    <w:rsid w:val="00AE446A"/>
    <w:rsid w:val="00AE450A"/>
    <w:rsid w:val="00AE4B36"/>
    <w:rsid w:val="00AE526B"/>
    <w:rsid w:val="00AF0B2E"/>
    <w:rsid w:val="00AF1D6D"/>
    <w:rsid w:val="00AF25FE"/>
    <w:rsid w:val="00AF4598"/>
    <w:rsid w:val="00AF6E8B"/>
    <w:rsid w:val="00AF7929"/>
    <w:rsid w:val="00B020D0"/>
    <w:rsid w:val="00B03ABD"/>
    <w:rsid w:val="00B04482"/>
    <w:rsid w:val="00B04B75"/>
    <w:rsid w:val="00B05141"/>
    <w:rsid w:val="00B10D40"/>
    <w:rsid w:val="00B11B55"/>
    <w:rsid w:val="00B11BAE"/>
    <w:rsid w:val="00B11D5B"/>
    <w:rsid w:val="00B12AFE"/>
    <w:rsid w:val="00B1352C"/>
    <w:rsid w:val="00B1488C"/>
    <w:rsid w:val="00B15147"/>
    <w:rsid w:val="00B16A82"/>
    <w:rsid w:val="00B1744E"/>
    <w:rsid w:val="00B175D9"/>
    <w:rsid w:val="00B215D1"/>
    <w:rsid w:val="00B23653"/>
    <w:rsid w:val="00B259A7"/>
    <w:rsid w:val="00B309BA"/>
    <w:rsid w:val="00B30E5A"/>
    <w:rsid w:val="00B32CE7"/>
    <w:rsid w:val="00B3307A"/>
    <w:rsid w:val="00B330A6"/>
    <w:rsid w:val="00B33BF0"/>
    <w:rsid w:val="00B33E77"/>
    <w:rsid w:val="00B34DBC"/>
    <w:rsid w:val="00B3792E"/>
    <w:rsid w:val="00B37D1C"/>
    <w:rsid w:val="00B431D3"/>
    <w:rsid w:val="00B43D2B"/>
    <w:rsid w:val="00B52E58"/>
    <w:rsid w:val="00B533D6"/>
    <w:rsid w:val="00B53E96"/>
    <w:rsid w:val="00B540B3"/>
    <w:rsid w:val="00B56AC2"/>
    <w:rsid w:val="00B6113E"/>
    <w:rsid w:val="00B637C0"/>
    <w:rsid w:val="00B63FF1"/>
    <w:rsid w:val="00B66CAE"/>
    <w:rsid w:val="00B66DCC"/>
    <w:rsid w:val="00B71692"/>
    <w:rsid w:val="00B80321"/>
    <w:rsid w:val="00B81910"/>
    <w:rsid w:val="00B81CB6"/>
    <w:rsid w:val="00B822C4"/>
    <w:rsid w:val="00B832F9"/>
    <w:rsid w:val="00B843DB"/>
    <w:rsid w:val="00B849F3"/>
    <w:rsid w:val="00B84F1C"/>
    <w:rsid w:val="00B90A6B"/>
    <w:rsid w:val="00B923A7"/>
    <w:rsid w:val="00B963AA"/>
    <w:rsid w:val="00B96658"/>
    <w:rsid w:val="00B96F39"/>
    <w:rsid w:val="00B97499"/>
    <w:rsid w:val="00BA0336"/>
    <w:rsid w:val="00BA08B2"/>
    <w:rsid w:val="00BA1076"/>
    <w:rsid w:val="00BA110C"/>
    <w:rsid w:val="00BA1DA5"/>
    <w:rsid w:val="00BA6FF9"/>
    <w:rsid w:val="00BB2214"/>
    <w:rsid w:val="00BB5BB9"/>
    <w:rsid w:val="00BB6D2B"/>
    <w:rsid w:val="00BB6FF3"/>
    <w:rsid w:val="00BC3F52"/>
    <w:rsid w:val="00BC7655"/>
    <w:rsid w:val="00BD0937"/>
    <w:rsid w:val="00BD18ED"/>
    <w:rsid w:val="00BD290A"/>
    <w:rsid w:val="00BD3632"/>
    <w:rsid w:val="00BD74E3"/>
    <w:rsid w:val="00BD7F73"/>
    <w:rsid w:val="00BE18E4"/>
    <w:rsid w:val="00BE38F9"/>
    <w:rsid w:val="00BF0351"/>
    <w:rsid w:val="00BF155C"/>
    <w:rsid w:val="00BF1C4A"/>
    <w:rsid w:val="00BF2E5C"/>
    <w:rsid w:val="00BF578E"/>
    <w:rsid w:val="00C01D36"/>
    <w:rsid w:val="00C025C0"/>
    <w:rsid w:val="00C02B41"/>
    <w:rsid w:val="00C04F46"/>
    <w:rsid w:val="00C055C0"/>
    <w:rsid w:val="00C0626E"/>
    <w:rsid w:val="00C06712"/>
    <w:rsid w:val="00C0718E"/>
    <w:rsid w:val="00C07663"/>
    <w:rsid w:val="00C10F11"/>
    <w:rsid w:val="00C113D2"/>
    <w:rsid w:val="00C11B42"/>
    <w:rsid w:val="00C14637"/>
    <w:rsid w:val="00C16EEC"/>
    <w:rsid w:val="00C20066"/>
    <w:rsid w:val="00C23BDA"/>
    <w:rsid w:val="00C253E7"/>
    <w:rsid w:val="00C26AB6"/>
    <w:rsid w:val="00C30786"/>
    <w:rsid w:val="00C31EF3"/>
    <w:rsid w:val="00C32AA1"/>
    <w:rsid w:val="00C340C2"/>
    <w:rsid w:val="00C350FA"/>
    <w:rsid w:val="00C35709"/>
    <w:rsid w:val="00C376B8"/>
    <w:rsid w:val="00C4347E"/>
    <w:rsid w:val="00C43B49"/>
    <w:rsid w:val="00C46C3B"/>
    <w:rsid w:val="00C47AA3"/>
    <w:rsid w:val="00C47BEB"/>
    <w:rsid w:val="00C51AEC"/>
    <w:rsid w:val="00C539DF"/>
    <w:rsid w:val="00C54C49"/>
    <w:rsid w:val="00C564E8"/>
    <w:rsid w:val="00C566D7"/>
    <w:rsid w:val="00C6375C"/>
    <w:rsid w:val="00C71374"/>
    <w:rsid w:val="00C71FA9"/>
    <w:rsid w:val="00C73A8E"/>
    <w:rsid w:val="00C7704E"/>
    <w:rsid w:val="00C80C59"/>
    <w:rsid w:val="00C82B75"/>
    <w:rsid w:val="00C86FAE"/>
    <w:rsid w:val="00C87EE7"/>
    <w:rsid w:val="00C9070B"/>
    <w:rsid w:val="00C90BB4"/>
    <w:rsid w:val="00C930D9"/>
    <w:rsid w:val="00C932D3"/>
    <w:rsid w:val="00C9453A"/>
    <w:rsid w:val="00C9630A"/>
    <w:rsid w:val="00C97BB2"/>
    <w:rsid w:val="00CA07B2"/>
    <w:rsid w:val="00CA1EE2"/>
    <w:rsid w:val="00CA1F1B"/>
    <w:rsid w:val="00CA5264"/>
    <w:rsid w:val="00CA683F"/>
    <w:rsid w:val="00CA6889"/>
    <w:rsid w:val="00CA738D"/>
    <w:rsid w:val="00CA7E31"/>
    <w:rsid w:val="00CB0244"/>
    <w:rsid w:val="00CB274F"/>
    <w:rsid w:val="00CB29CD"/>
    <w:rsid w:val="00CB2BE1"/>
    <w:rsid w:val="00CB2E4C"/>
    <w:rsid w:val="00CB3B63"/>
    <w:rsid w:val="00CB411C"/>
    <w:rsid w:val="00CC0756"/>
    <w:rsid w:val="00CC18DA"/>
    <w:rsid w:val="00CC28AD"/>
    <w:rsid w:val="00CC311C"/>
    <w:rsid w:val="00CC6E8B"/>
    <w:rsid w:val="00CD0B44"/>
    <w:rsid w:val="00CD1EDF"/>
    <w:rsid w:val="00CD2A43"/>
    <w:rsid w:val="00CD436E"/>
    <w:rsid w:val="00CD4E60"/>
    <w:rsid w:val="00CD4F46"/>
    <w:rsid w:val="00CD5109"/>
    <w:rsid w:val="00CD53DF"/>
    <w:rsid w:val="00CD6D93"/>
    <w:rsid w:val="00CE4B2E"/>
    <w:rsid w:val="00CE5055"/>
    <w:rsid w:val="00CE607B"/>
    <w:rsid w:val="00CE6516"/>
    <w:rsid w:val="00CF00C5"/>
    <w:rsid w:val="00CF0428"/>
    <w:rsid w:val="00CF1696"/>
    <w:rsid w:val="00CF2F9D"/>
    <w:rsid w:val="00CF3081"/>
    <w:rsid w:val="00CF38D2"/>
    <w:rsid w:val="00CF7024"/>
    <w:rsid w:val="00D053A9"/>
    <w:rsid w:val="00D117BF"/>
    <w:rsid w:val="00D12B82"/>
    <w:rsid w:val="00D1329D"/>
    <w:rsid w:val="00D13835"/>
    <w:rsid w:val="00D15A76"/>
    <w:rsid w:val="00D15D5A"/>
    <w:rsid w:val="00D1736C"/>
    <w:rsid w:val="00D217D8"/>
    <w:rsid w:val="00D26C80"/>
    <w:rsid w:val="00D3119E"/>
    <w:rsid w:val="00D316F2"/>
    <w:rsid w:val="00D3201B"/>
    <w:rsid w:val="00D34A77"/>
    <w:rsid w:val="00D35038"/>
    <w:rsid w:val="00D36FB0"/>
    <w:rsid w:val="00D413A5"/>
    <w:rsid w:val="00D43600"/>
    <w:rsid w:val="00D44831"/>
    <w:rsid w:val="00D44A78"/>
    <w:rsid w:val="00D46290"/>
    <w:rsid w:val="00D465E9"/>
    <w:rsid w:val="00D4697D"/>
    <w:rsid w:val="00D5062E"/>
    <w:rsid w:val="00D5258C"/>
    <w:rsid w:val="00D553DF"/>
    <w:rsid w:val="00D57211"/>
    <w:rsid w:val="00D62E82"/>
    <w:rsid w:val="00D6726F"/>
    <w:rsid w:val="00D70572"/>
    <w:rsid w:val="00D722D3"/>
    <w:rsid w:val="00D76E75"/>
    <w:rsid w:val="00D76F77"/>
    <w:rsid w:val="00D80B6A"/>
    <w:rsid w:val="00D838DC"/>
    <w:rsid w:val="00D84CC3"/>
    <w:rsid w:val="00D84D17"/>
    <w:rsid w:val="00D85B17"/>
    <w:rsid w:val="00D862AB"/>
    <w:rsid w:val="00D86AE5"/>
    <w:rsid w:val="00D87425"/>
    <w:rsid w:val="00D87DE6"/>
    <w:rsid w:val="00D91901"/>
    <w:rsid w:val="00D924FF"/>
    <w:rsid w:val="00D92668"/>
    <w:rsid w:val="00D93E2E"/>
    <w:rsid w:val="00D94344"/>
    <w:rsid w:val="00D95255"/>
    <w:rsid w:val="00D95891"/>
    <w:rsid w:val="00DA0DC6"/>
    <w:rsid w:val="00DA0EBB"/>
    <w:rsid w:val="00DA2E1F"/>
    <w:rsid w:val="00DA3BCE"/>
    <w:rsid w:val="00DA3C62"/>
    <w:rsid w:val="00DA5292"/>
    <w:rsid w:val="00DA55AD"/>
    <w:rsid w:val="00DA66C9"/>
    <w:rsid w:val="00DB0E33"/>
    <w:rsid w:val="00DB3336"/>
    <w:rsid w:val="00DB785B"/>
    <w:rsid w:val="00DB78E0"/>
    <w:rsid w:val="00DC180E"/>
    <w:rsid w:val="00DC1D5B"/>
    <w:rsid w:val="00DC2C0D"/>
    <w:rsid w:val="00DC32DD"/>
    <w:rsid w:val="00DC33EA"/>
    <w:rsid w:val="00DC5C4E"/>
    <w:rsid w:val="00DD2424"/>
    <w:rsid w:val="00DD6855"/>
    <w:rsid w:val="00DD7C3C"/>
    <w:rsid w:val="00DE2730"/>
    <w:rsid w:val="00DE2AFF"/>
    <w:rsid w:val="00DE72FC"/>
    <w:rsid w:val="00DE734F"/>
    <w:rsid w:val="00DE747D"/>
    <w:rsid w:val="00DF0E31"/>
    <w:rsid w:val="00DF488C"/>
    <w:rsid w:val="00DF5AD0"/>
    <w:rsid w:val="00E0178C"/>
    <w:rsid w:val="00E03187"/>
    <w:rsid w:val="00E03742"/>
    <w:rsid w:val="00E037A6"/>
    <w:rsid w:val="00E05D68"/>
    <w:rsid w:val="00E10069"/>
    <w:rsid w:val="00E11A79"/>
    <w:rsid w:val="00E12FD6"/>
    <w:rsid w:val="00E1315A"/>
    <w:rsid w:val="00E13E24"/>
    <w:rsid w:val="00E14FFC"/>
    <w:rsid w:val="00E17313"/>
    <w:rsid w:val="00E20B6F"/>
    <w:rsid w:val="00E231EF"/>
    <w:rsid w:val="00E272E3"/>
    <w:rsid w:val="00E311A4"/>
    <w:rsid w:val="00E31483"/>
    <w:rsid w:val="00E32D2A"/>
    <w:rsid w:val="00E33095"/>
    <w:rsid w:val="00E33A13"/>
    <w:rsid w:val="00E34CD9"/>
    <w:rsid w:val="00E34FE5"/>
    <w:rsid w:val="00E365FE"/>
    <w:rsid w:val="00E417CA"/>
    <w:rsid w:val="00E41974"/>
    <w:rsid w:val="00E41B9F"/>
    <w:rsid w:val="00E42156"/>
    <w:rsid w:val="00E42567"/>
    <w:rsid w:val="00E426F6"/>
    <w:rsid w:val="00E4456F"/>
    <w:rsid w:val="00E44EE0"/>
    <w:rsid w:val="00E563F5"/>
    <w:rsid w:val="00E56DD7"/>
    <w:rsid w:val="00E60186"/>
    <w:rsid w:val="00E6052A"/>
    <w:rsid w:val="00E67782"/>
    <w:rsid w:val="00E67CBD"/>
    <w:rsid w:val="00E67D26"/>
    <w:rsid w:val="00E71A07"/>
    <w:rsid w:val="00E71E09"/>
    <w:rsid w:val="00E72A12"/>
    <w:rsid w:val="00E7588E"/>
    <w:rsid w:val="00E766B4"/>
    <w:rsid w:val="00E779F6"/>
    <w:rsid w:val="00E80513"/>
    <w:rsid w:val="00E80BE1"/>
    <w:rsid w:val="00E841A5"/>
    <w:rsid w:val="00E90B42"/>
    <w:rsid w:val="00E91D82"/>
    <w:rsid w:val="00E920AF"/>
    <w:rsid w:val="00E92C0F"/>
    <w:rsid w:val="00E92CF8"/>
    <w:rsid w:val="00E9383E"/>
    <w:rsid w:val="00E93C98"/>
    <w:rsid w:val="00E94467"/>
    <w:rsid w:val="00EA0555"/>
    <w:rsid w:val="00EA179D"/>
    <w:rsid w:val="00EA2743"/>
    <w:rsid w:val="00EA4256"/>
    <w:rsid w:val="00EA53B0"/>
    <w:rsid w:val="00EA54E7"/>
    <w:rsid w:val="00EA7856"/>
    <w:rsid w:val="00EB02B7"/>
    <w:rsid w:val="00EB0EBA"/>
    <w:rsid w:val="00EB1B99"/>
    <w:rsid w:val="00EB2193"/>
    <w:rsid w:val="00EB2796"/>
    <w:rsid w:val="00EB3F37"/>
    <w:rsid w:val="00EB5231"/>
    <w:rsid w:val="00EC0E4F"/>
    <w:rsid w:val="00EC13F6"/>
    <w:rsid w:val="00EC3EEE"/>
    <w:rsid w:val="00EC42EC"/>
    <w:rsid w:val="00EC6362"/>
    <w:rsid w:val="00EC6BE0"/>
    <w:rsid w:val="00EC75A1"/>
    <w:rsid w:val="00EC7E81"/>
    <w:rsid w:val="00ED29E2"/>
    <w:rsid w:val="00ED3653"/>
    <w:rsid w:val="00ED37A9"/>
    <w:rsid w:val="00ED491B"/>
    <w:rsid w:val="00EE4161"/>
    <w:rsid w:val="00EE4616"/>
    <w:rsid w:val="00EE54B2"/>
    <w:rsid w:val="00EE58D7"/>
    <w:rsid w:val="00EE6CBD"/>
    <w:rsid w:val="00EE79C9"/>
    <w:rsid w:val="00EF3BF3"/>
    <w:rsid w:val="00EF43D6"/>
    <w:rsid w:val="00EF54AA"/>
    <w:rsid w:val="00EF6170"/>
    <w:rsid w:val="00EF64E4"/>
    <w:rsid w:val="00EF6C16"/>
    <w:rsid w:val="00F0215E"/>
    <w:rsid w:val="00F071C7"/>
    <w:rsid w:val="00F10514"/>
    <w:rsid w:val="00F1079E"/>
    <w:rsid w:val="00F119DC"/>
    <w:rsid w:val="00F12DCC"/>
    <w:rsid w:val="00F17799"/>
    <w:rsid w:val="00F22CC3"/>
    <w:rsid w:val="00F24D83"/>
    <w:rsid w:val="00F261B0"/>
    <w:rsid w:val="00F26268"/>
    <w:rsid w:val="00F26D0D"/>
    <w:rsid w:val="00F26E7F"/>
    <w:rsid w:val="00F30C52"/>
    <w:rsid w:val="00F32A67"/>
    <w:rsid w:val="00F355C9"/>
    <w:rsid w:val="00F37E7B"/>
    <w:rsid w:val="00F419ED"/>
    <w:rsid w:val="00F4502D"/>
    <w:rsid w:val="00F477BF"/>
    <w:rsid w:val="00F50BDB"/>
    <w:rsid w:val="00F50F98"/>
    <w:rsid w:val="00F511BC"/>
    <w:rsid w:val="00F51901"/>
    <w:rsid w:val="00F52411"/>
    <w:rsid w:val="00F53353"/>
    <w:rsid w:val="00F559E3"/>
    <w:rsid w:val="00F568E8"/>
    <w:rsid w:val="00F56D56"/>
    <w:rsid w:val="00F57B53"/>
    <w:rsid w:val="00F60356"/>
    <w:rsid w:val="00F61D15"/>
    <w:rsid w:val="00F63026"/>
    <w:rsid w:val="00F65164"/>
    <w:rsid w:val="00F664FF"/>
    <w:rsid w:val="00F704A7"/>
    <w:rsid w:val="00F704D9"/>
    <w:rsid w:val="00F724DC"/>
    <w:rsid w:val="00F736D8"/>
    <w:rsid w:val="00F746AE"/>
    <w:rsid w:val="00F75217"/>
    <w:rsid w:val="00F75287"/>
    <w:rsid w:val="00F763CB"/>
    <w:rsid w:val="00F81170"/>
    <w:rsid w:val="00F82FD5"/>
    <w:rsid w:val="00F8386A"/>
    <w:rsid w:val="00F863C8"/>
    <w:rsid w:val="00F900EE"/>
    <w:rsid w:val="00F91346"/>
    <w:rsid w:val="00F92F91"/>
    <w:rsid w:val="00F954EF"/>
    <w:rsid w:val="00FA0909"/>
    <w:rsid w:val="00FA0F61"/>
    <w:rsid w:val="00FA1B4F"/>
    <w:rsid w:val="00FA2195"/>
    <w:rsid w:val="00FA5E50"/>
    <w:rsid w:val="00FA7B5B"/>
    <w:rsid w:val="00FA7DD1"/>
    <w:rsid w:val="00FB0965"/>
    <w:rsid w:val="00FB1249"/>
    <w:rsid w:val="00FB49D4"/>
    <w:rsid w:val="00FB4C6E"/>
    <w:rsid w:val="00FB535A"/>
    <w:rsid w:val="00FB6DF3"/>
    <w:rsid w:val="00FC626A"/>
    <w:rsid w:val="00FC7912"/>
    <w:rsid w:val="00FC7A28"/>
    <w:rsid w:val="00FD08C9"/>
    <w:rsid w:val="00FD1579"/>
    <w:rsid w:val="00FD1A1D"/>
    <w:rsid w:val="00FD372C"/>
    <w:rsid w:val="00FD3C48"/>
    <w:rsid w:val="00FD5060"/>
    <w:rsid w:val="00FE133D"/>
    <w:rsid w:val="00FE1D5A"/>
    <w:rsid w:val="00FE7388"/>
    <w:rsid w:val="00FF363C"/>
    <w:rsid w:val="00FF39AD"/>
    <w:rsid w:val="00FF4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B2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92C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F04"/>
    <w:rPr>
      <w:sz w:val="0"/>
      <w:szCs w:val="0"/>
    </w:rPr>
  </w:style>
  <w:style w:type="paragraph" w:customStyle="1" w:styleId="a6">
    <w:name w:val="Îáû÷íûé"/>
    <w:uiPriority w:val="99"/>
    <w:rsid w:val="007269FE"/>
    <w:pPr>
      <w:widowControl w:val="0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B90A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1F04"/>
    <w:rPr>
      <w:sz w:val="24"/>
      <w:szCs w:val="24"/>
    </w:rPr>
  </w:style>
  <w:style w:type="character" w:styleId="a9">
    <w:name w:val="page number"/>
    <w:basedOn w:val="a0"/>
    <w:uiPriority w:val="99"/>
    <w:rsid w:val="00B90A6B"/>
    <w:rPr>
      <w:rFonts w:cs="Times New Roman"/>
    </w:rPr>
  </w:style>
  <w:style w:type="paragraph" w:styleId="aa">
    <w:name w:val="footer"/>
    <w:basedOn w:val="a"/>
    <w:link w:val="ab"/>
    <w:uiPriority w:val="99"/>
    <w:rsid w:val="004411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1F04"/>
    <w:rPr>
      <w:sz w:val="24"/>
      <w:szCs w:val="24"/>
    </w:rPr>
  </w:style>
  <w:style w:type="paragraph" w:customStyle="1" w:styleId="ac">
    <w:name w:val="Знак"/>
    <w:basedOn w:val="a"/>
    <w:uiPriority w:val="99"/>
    <w:rsid w:val="00B05141"/>
    <w:rPr>
      <w:rFonts w:ascii="Verdana" w:hAnsi="Verdana"/>
      <w:sz w:val="20"/>
      <w:szCs w:val="20"/>
      <w:lang w:val="en-US" w:eastAsia="en-US"/>
    </w:rPr>
  </w:style>
  <w:style w:type="character" w:customStyle="1" w:styleId="rvts0">
    <w:name w:val="rvts0"/>
    <w:basedOn w:val="a0"/>
    <w:uiPriority w:val="99"/>
    <w:rsid w:val="00F82FD5"/>
    <w:rPr>
      <w:rFonts w:cs="Times New Roman"/>
    </w:rPr>
  </w:style>
  <w:style w:type="paragraph" w:customStyle="1" w:styleId="AeiOaieaaeaec">
    <w:name w:val="AeiOaiea?aeaec"/>
    <w:basedOn w:val="a"/>
    <w:uiPriority w:val="99"/>
    <w:rsid w:val="008938A5"/>
    <w:pPr>
      <w:widowControl w:val="0"/>
      <w:overflowPunct w:val="0"/>
      <w:autoSpaceDE w:val="0"/>
      <w:autoSpaceDN w:val="0"/>
      <w:adjustRightInd w:val="0"/>
      <w:jc w:val="center"/>
    </w:pPr>
    <w:rPr>
      <w:color w:val="000000"/>
      <w:sz w:val="22"/>
      <w:szCs w:val="20"/>
    </w:rPr>
  </w:style>
  <w:style w:type="paragraph" w:styleId="ad">
    <w:name w:val="List Paragraph"/>
    <w:basedOn w:val="a"/>
    <w:uiPriority w:val="99"/>
    <w:qFormat/>
    <w:rsid w:val="001E32A6"/>
    <w:pPr>
      <w:ind w:left="720"/>
      <w:contextualSpacing/>
    </w:pPr>
  </w:style>
  <w:style w:type="character" w:styleId="ae">
    <w:name w:val="Strong"/>
    <w:basedOn w:val="a0"/>
    <w:uiPriority w:val="99"/>
    <w:qFormat/>
    <w:rsid w:val="006709EC"/>
    <w:rPr>
      <w:rFonts w:cs="Times New Roman"/>
      <w:b/>
    </w:rPr>
  </w:style>
  <w:style w:type="paragraph" w:customStyle="1" w:styleId="rvps2">
    <w:name w:val="rvps2"/>
    <w:basedOn w:val="a"/>
    <w:uiPriority w:val="99"/>
    <w:rsid w:val="00697B45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243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35B5"/>
    <w:rPr>
      <w:rFonts w:ascii="Courier New" w:hAnsi="Courier New" w:cs="Courier New"/>
      <w:sz w:val="20"/>
      <w:szCs w:val="20"/>
    </w:rPr>
  </w:style>
  <w:style w:type="character" w:customStyle="1" w:styleId="rvts23">
    <w:name w:val="rvts23"/>
    <w:basedOn w:val="a0"/>
    <w:rsid w:val="00D70572"/>
  </w:style>
  <w:style w:type="character" w:customStyle="1" w:styleId="rvts9">
    <w:name w:val="rvts9"/>
    <w:basedOn w:val="a0"/>
    <w:rsid w:val="00D70572"/>
  </w:style>
  <w:style w:type="paragraph" w:customStyle="1" w:styleId="rvps14">
    <w:name w:val="rvps14"/>
    <w:basedOn w:val="a"/>
    <w:rsid w:val="00D70572"/>
    <w:pPr>
      <w:spacing w:before="100" w:beforeAutospacing="1" w:after="100" w:afterAutospacing="1"/>
    </w:pPr>
  </w:style>
  <w:style w:type="character" w:styleId="af">
    <w:name w:val="annotation reference"/>
    <w:basedOn w:val="a0"/>
    <w:uiPriority w:val="99"/>
    <w:semiHidden/>
    <w:unhideWhenUsed/>
    <w:rsid w:val="00AC6B9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C6B9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C6B94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5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598"/>
    <w:rPr>
      <w:b/>
      <w:bCs/>
    </w:rPr>
  </w:style>
  <w:style w:type="character" w:customStyle="1" w:styleId="spelle">
    <w:name w:val="spelle"/>
    <w:rsid w:val="00451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868F-57DB-4332-94E1-2C143972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11559</Words>
  <Characters>6589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Аналіз регуляторного впливу</vt:lpstr>
    </vt:vector>
  </TitlesOfParts>
  <Company>Microsoft</Company>
  <LinksUpToDate>false</LinksUpToDate>
  <CharactersWithSpaces>18112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Andrii V. Mikhniov</dc:creator>
  <cp:lastModifiedBy>Света</cp:lastModifiedBy>
  <cp:revision>4</cp:revision>
  <cp:lastPrinted>2021-03-11T06:31:00Z</cp:lastPrinted>
  <dcterms:created xsi:type="dcterms:W3CDTF">2021-03-10T13:06:00Z</dcterms:created>
  <dcterms:modified xsi:type="dcterms:W3CDTF">2021-03-11T06:40:00Z</dcterms:modified>
</cp:coreProperties>
</file>